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仿宋" w:hAnsi="仿宋" w:eastAsia="仿宋" w:cs="仿宋"/>
          <w:b/>
          <w:color w:val="auto"/>
          <w:sz w:val="36"/>
          <w:szCs w:val="36"/>
          <w:highlight w:val="none"/>
        </w:rPr>
      </w:pPr>
      <w:r>
        <w:rPr>
          <w:color w:val="auto"/>
          <w:sz w:val="36"/>
          <w:highlight w:val="none"/>
        </w:rPr>
        <w:pict>
          <v:shape id="_x0000_s1041" o:spid="_x0000_s1041" o:spt="202" type="#_x0000_t202" style="position:absolute;left:0pt;margin-left:326.15pt;margin-top:-11.9pt;height:29.15pt;width:117.7pt;z-index:251662336;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pStyle w:val="2"/>
        <w:spacing w:line="560" w:lineRule="exact"/>
        <w:rPr>
          <w:rFonts w:hint="eastAsia" w:ascii="仿宋" w:hAnsi="仿宋" w:eastAsia="仿宋" w:cs="仿宋"/>
          <w:color w:val="auto"/>
          <w:highlight w:val="none"/>
        </w:rPr>
      </w:pPr>
    </w:p>
    <w:p>
      <w:pPr>
        <w:spacing w:line="560" w:lineRule="exact"/>
        <w:rPr>
          <w:rFonts w:hint="default" w:ascii="仿宋" w:hAnsi="仿宋" w:eastAsia="仿宋" w:cs="仿宋"/>
          <w:b/>
          <w:color w:val="auto"/>
          <w:sz w:val="15"/>
          <w:szCs w:val="15"/>
          <w:highlight w:val="none"/>
          <w:lang w:val="en-US" w:eastAsia="zh-CN"/>
        </w:rPr>
      </w:pPr>
      <w:r>
        <w:rPr>
          <w:rFonts w:hint="eastAsia" w:ascii="仿宋" w:hAnsi="仿宋" w:eastAsia="仿宋" w:cs="仿宋"/>
          <w:b/>
          <w:color w:val="auto"/>
          <w:sz w:val="36"/>
          <w:szCs w:val="36"/>
          <w:highlight w:val="none"/>
        </w:rPr>
        <w:t xml:space="preserve">文件编号: </w:t>
      </w:r>
      <w:r>
        <w:rPr>
          <w:rFonts w:hint="eastAsia" w:ascii="仿宋" w:hAnsi="仿宋" w:eastAsia="仿宋" w:cs="仿宋"/>
          <w:b/>
          <w:color w:val="auto"/>
          <w:sz w:val="36"/>
          <w:szCs w:val="36"/>
          <w:highlight w:val="none"/>
          <w:lang w:eastAsia="zh-CN"/>
        </w:rPr>
        <w:t>ZAGL-2023-008</w:t>
      </w:r>
      <w:r>
        <w:rPr>
          <w:rFonts w:hint="eastAsia" w:ascii="仿宋" w:hAnsi="仿宋" w:eastAsia="仿宋" w:cs="仿宋"/>
          <w:b/>
          <w:color w:val="auto"/>
          <w:sz w:val="36"/>
          <w:szCs w:val="36"/>
          <w:highlight w:val="none"/>
          <w:lang w:val="en-US" w:eastAsia="zh-CN"/>
        </w:rPr>
        <w:t>-03</w:t>
      </w:r>
    </w:p>
    <w:p>
      <w:pPr>
        <w:widowControl/>
        <w:wordWrap w:val="0"/>
        <w:spacing w:line="560" w:lineRule="exact"/>
        <w:rPr>
          <w:rFonts w:hint="eastAsia" w:ascii="仿宋" w:hAnsi="仿宋" w:eastAsia="仿宋" w:cs="仿宋"/>
          <w:b/>
          <w:bCs/>
          <w:color w:val="auto"/>
          <w:spacing w:val="20"/>
          <w:kern w:val="0"/>
          <w:sz w:val="84"/>
          <w:szCs w:val="84"/>
          <w:highlight w:val="none"/>
        </w:rPr>
      </w:pPr>
    </w:p>
    <w:p>
      <w:pPr>
        <w:widowControl/>
        <w:spacing w:line="560" w:lineRule="exact"/>
        <w:jc w:val="center"/>
        <w:rPr>
          <w:rFonts w:hint="eastAsia" w:ascii="仿宋" w:hAnsi="仿宋" w:eastAsia="仿宋" w:cs="仿宋"/>
          <w:b/>
          <w:color w:val="auto"/>
          <w:sz w:val="52"/>
          <w:szCs w:val="52"/>
          <w:highlight w:val="none"/>
        </w:rPr>
      </w:pPr>
    </w:p>
    <w:p>
      <w:pPr>
        <w:widowControl/>
        <w:spacing w:line="560" w:lineRule="exact"/>
        <w:jc w:val="center"/>
        <w:rPr>
          <w:rFonts w:hint="eastAsia" w:ascii="仿宋" w:hAnsi="仿宋" w:eastAsia="仿宋" w:cs="仿宋"/>
          <w:b/>
          <w:color w:val="auto"/>
          <w:sz w:val="52"/>
          <w:szCs w:val="52"/>
          <w:highlight w:val="none"/>
        </w:rPr>
      </w:pPr>
    </w:p>
    <w:p>
      <w:pPr>
        <w:spacing w:line="560" w:lineRule="exact"/>
        <w:jc w:val="center"/>
        <w:rPr>
          <w:rFonts w:hint="eastAsia" w:ascii="仿宋" w:hAnsi="仿宋" w:eastAsia="仿宋" w:cs="仿宋"/>
          <w:b/>
          <w:color w:val="auto"/>
          <w:sz w:val="52"/>
          <w:szCs w:val="52"/>
          <w:highlight w:val="none"/>
          <w:shd w:val="clear" w:color="auto" w:fill="FFFFFF"/>
        </w:rPr>
      </w:pPr>
      <w:r>
        <w:rPr>
          <w:rFonts w:hint="eastAsia" w:ascii="仿宋" w:hAnsi="仿宋" w:eastAsia="仿宋" w:cs="仿宋"/>
          <w:b/>
          <w:bCs/>
          <w:color w:val="auto"/>
          <w:sz w:val="52"/>
          <w:szCs w:val="52"/>
          <w:highlight w:val="none"/>
          <w:lang w:eastAsia="zh-CN"/>
        </w:rPr>
        <w:t>渭河高陵段已建成工程维修养护项目</w:t>
      </w:r>
    </w:p>
    <w:p>
      <w:pPr>
        <w:spacing w:beforeLines="50" w:line="560" w:lineRule="exact"/>
        <w:jc w:val="center"/>
        <w:rPr>
          <w:rFonts w:hint="eastAsia" w:ascii="仿宋" w:hAnsi="仿宋" w:eastAsia="仿宋" w:cs="仿宋"/>
          <w:b/>
          <w:bCs/>
          <w:color w:val="auto"/>
          <w:sz w:val="28"/>
          <w:szCs w:val="24"/>
          <w:highlight w:val="none"/>
          <w:lang w:val="en-US" w:eastAsia="zh-CN"/>
        </w:rPr>
      </w:pPr>
    </w:p>
    <w:p>
      <w:pPr>
        <w:spacing w:beforeLines="50" w:line="560" w:lineRule="exact"/>
        <w:jc w:val="center"/>
        <w:rPr>
          <w:rFonts w:hint="eastAsia" w:ascii="仿宋" w:hAnsi="仿宋" w:eastAsia="仿宋" w:cs="仿宋"/>
          <w:b/>
          <w:bCs/>
          <w:color w:val="auto"/>
          <w:spacing w:val="20"/>
          <w:kern w:val="0"/>
          <w:sz w:val="96"/>
          <w:szCs w:val="96"/>
          <w:highlight w:val="none"/>
        </w:rPr>
      </w:pPr>
      <w:r>
        <w:rPr>
          <w:rFonts w:hint="eastAsia" w:ascii="仿宋" w:hAnsi="仿宋" w:eastAsia="仿宋" w:cs="仿宋"/>
          <w:b/>
          <w:bCs/>
          <w:color w:val="auto"/>
          <w:sz w:val="28"/>
          <w:szCs w:val="24"/>
          <w:highlight w:val="none"/>
          <w:lang w:val="en-US" w:eastAsia="zh-CN"/>
        </w:rPr>
        <w:t>第三标段：渭河左岸咸阳交界处至泾河入渭口大桥北桥头</w:t>
      </w:r>
    </w:p>
    <w:p>
      <w:pPr>
        <w:rPr>
          <w:rFonts w:hint="eastAsia"/>
          <w:color w:val="auto"/>
          <w:highlight w:val="none"/>
        </w:rPr>
      </w:pPr>
    </w:p>
    <w:p>
      <w:pPr>
        <w:spacing w:beforeLines="50" w:line="560" w:lineRule="exact"/>
        <w:jc w:val="center"/>
        <w:rPr>
          <w:rFonts w:hint="eastAsia" w:ascii="仿宋" w:hAnsi="仿宋" w:eastAsia="仿宋" w:cs="仿宋"/>
          <w:b/>
          <w:bCs/>
          <w:color w:val="auto"/>
          <w:spacing w:val="20"/>
          <w:kern w:val="0"/>
          <w:sz w:val="72"/>
          <w:szCs w:val="72"/>
          <w:highlight w:val="none"/>
        </w:rPr>
      </w:pPr>
    </w:p>
    <w:p>
      <w:pPr>
        <w:spacing w:beforeLines="50" w:line="560" w:lineRule="exact"/>
        <w:jc w:val="center"/>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公开招标文件</w:t>
      </w:r>
    </w:p>
    <w:p>
      <w:pPr>
        <w:spacing w:beforeLines="70" w:line="560" w:lineRule="exact"/>
        <w:rPr>
          <w:rFonts w:hint="eastAsia" w:ascii="仿宋" w:hAnsi="仿宋" w:eastAsia="仿宋" w:cs="仿宋"/>
          <w:b/>
          <w:bCs/>
          <w:color w:val="auto"/>
          <w:sz w:val="32"/>
          <w:szCs w:val="32"/>
          <w:highlight w:val="none"/>
        </w:rPr>
      </w:pPr>
    </w:p>
    <w:p>
      <w:pPr>
        <w:spacing w:beforeLines="70" w:line="560" w:lineRule="exact"/>
        <w:rPr>
          <w:rFonts w:hint="eastAsia" w:ascii="仿宋" w:hAnsi="仿宋" w:eastAsia="仿宋" w:cs="仿宋"/>
          <w:b/>
          <w:bCs/>
          <w:color w:val="auto"/>
          <w:sz w:val="32"/>
          <w:szCs w:val="32"/>
          <w:highlight w:val="none"/>
        </w:rPr>
      </w:pPr>
      <w:r>
        <w:rPr>
          <w:rFonts w:hint="eastAsia" w:ascii="宋体" w:hAnsi="宋体" w:eastAsia="宋体" w:cs="宋体"/>
          <w:color w:val="auto"/>
          <w:highlight w:val="none"/>
        </w:rPr>
        <w:drawing>
          <wp:anchor distT="0" distB="0" distL="114300" distR="114300" simplePos="0" relativeHeight="251667456" behindDoc="1" locked="0" layoutInCell="1" allowOverlap="1">
            <wp:simplePos x="0" y="0"/>
            <wp:positionH relativeFrom="column">
              <wp:posOffset>1482725</wp:posOffset>
            </wp:positionH>
            <wp:positionV relativeFrom="paragraph">
              <wp:posOffset>17145</wp:posOffset>
            </wp:positionV>
            <wp:extent cx="2133600" cy="1426845"/>
            <wp:effectExtent l="0" t="0" r="0" b="1905"/>
            <wp:wrapTight wrapText="bothSides">
              <wp:wrapPolygon>
                <wp:start x="0" y="0"/>
                <wp:lineTo x="0" y="21340"/>
                <wp:lineTo x="21407" y="21340"/>
                <wp:lineTo x="21407" y="0"/>
                <wp:lineTo x="0" y="0"/>
              </wp:wrapPolygon>
            </wp:wrapTight>
            <wp:docPr id="2" name="图片 10" descr="卓安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 descr="卓安LOGO"/>
                    <pic:cNvPicPr>
                      <a:picLocks noChangeAspect="1"/>
                    </pic:cNvPicPr>
                  </pic:nvPicPr>
                  <pic:blipFill>
                    <a:blip r:embed="rId27"/>
                    <a:stretch>
                      <a:fillRect/>
                    </a:stretch>
                  </pic:blipFill>
                  <pic:spPr>
                    <a:xfrm>
                      <a:off x="0" y="0"/>
                      <a:ext cx="2133600" cy="1426845"/>
                    </a:xfrm>
                    <a:prstGeom prst="rect">
                      <a:avLst/>
                    </a:prstGeom>
                    <a:noFill/>
                    <a:ln>
                      <a:noFill/>
                    </a:ln>
                  </pic:spPr>
                </pic:pic>
              </a:graphicData>
            </a:graphic>
          </wp:anchor>
        </w:drawing>
      </w: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spacing w:beforeLines="70" w:line="560" w:lineRule="exact"/>
        <w:ind w:firstLine="2570" w:firstLineChars="800"/>
        <w:rPr>
          <w:rFonts w:hint="eastAsia" w:ascii="仿宋" w:hAnsi="仿宋" w:eastAsia="仿宋" w:cs="仿宋"/>
          <w:b/>
          <w:bCs/>
          <w:color w:val="auto"/>
          <w:sz w:val="32"/>
          <w:szCs w:val="32"/>
          <w:highlight w:val="none"/>
          <w:lang w:eastAsia="zh-CN"/>
        </w:rPr>
      </w:pPr>
    </w:p>
    <w:p>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1767" w:firstLineChars="550"/>
        <w:jc w:val="both"/>
        <w:textAlignment w:val="auto"/>
        <w:rPr>
          <w:rFonts w:hint="eastAsia" w:ascii="仿宋" w:hAnsi="仿宋" w:eastAsia="仿宋" w:cs="仿宋"/>
          <w:b/>
          <w:bCs/>
          <w:color w:val="auto"/>
          <w:sz w:val="32"/>
          <w:szCs w:val="32"/>
          <w:highlight w:val="none"/>
          <w:lang w:eastAsia="zh-CN"/>
        </w:rPr>
      </w:pPr>
      <w:r>
        <w:rPr>
          <w:rFonts w:hint="eastAsia" w:ascii="仿宋" w:hAnsi="仿宋" w:eastAsia="仿宋" w:cs="仿宋"/>
          <w:b/>
          <w:bCs/>
          <w:color w:val="auto"/>
          <w:sz w:val="32"/>
          <w:szCs w:val="32"/>
          <w:highlight w:val="none"/>
          <w:lang w:eastAsia="zh-CN"/>
        </w:rPr>
        <w:t>采购人：</w:t>
      </w:r>
      <w:r>
        <w:rPr>
          <w:rFonts w:hint="eastAsia" w:ascii="仿宋" w:hAnsi="仿宋" w:eastAsia="仿宋" w:cs="仿宋"/>
          <w:b/>
          <w:bCs/>
          <w:color w:val="auto"/>
          <w:sz w:val="32"/>
          <w:szCs w:val="32"/>
          <w:highlight w:val="none"/>
          <w:lang w:val="en-US" w:eastAsia="zh-CN"/>
        </w:rPr>
        <w:t>西安市</w:t>
      </w:r>
      <w:r>
        <w:rPr>
          <w:rFonts w:hint="eastAsia" w:ascii="仿宋" w:hAnsi="仿宋" w:eastAsia="仿宋" w:cs="仿宋"/>
          <w:b/>
          <w:bCs/>
          <w:color w:val="auto"/>
          <w:sz w:val="32"/>
          <w:szCs w:val="32"/>
          <w:highlight w:val="none"/>
          <w:lang w:eastAsia="zh-CN"/>
        </w:rPr>
        <w:t>高陵区水务局</w:t>
      </w:r>
    </w:p>
    <w:p>
      <w:pPr>
        <w:pStyle w:val="2"/>
        <w:keepNext w:val="0"/>
        <w:keepLines w:val="0"/>
        <w:pageBreakBefore w:val="0"/>
        <w:widowControl w:val="0"/>
        <w:kinsoku/>
        <w:wordWrap/>
        <w:overflowPunct/>
        <w:topLinePunct w:val="0"/>
        <w:autoSpaceDE/>
        <w:autoSpaceDN/>
        <w:bidi w:val="0"/>
        <w:adjustRightInd/>
        <w:snapToGrid/>
        <w:spacing w:line="640" w:lineRule="exact"/>
        <w:ind w:left="0" w:leftChars="0" w:firstLine="1767" w:firstLineChars="550"/>
        <w:jc w:val="both"/>
        <w:textAlignment w:val="auto"/>
        <w:rPr>
          <w:rFonts w:hint="eastAsia" w:ascii="仿宋" w:hAnsi="仿宋" w:eastAsia="仿宋" w:cs="仿宋"/>
          <w:color w:val="auto"/>
          <w:highlight w:val="none"/>
          <w:lang w:eastAsia="zh-CN"/>
        </w:rPr>
      </w:pPr>
      <w:r>
        <w:rPr>
          <w:rFonts w:hint="eastAsia" w:ascii="仿宋" w:hAnsi="仿宋" w:eastAsia="仿宋" w:cs="仿宋"/>
          <w:b/>
          <w:bCs/>
          <w:color w:val="auto"/>
          <w:sz w:val="32"/>
          <w:szCs w:val="32"/>
          <w:highlight w:val="none"/>
          <w:lang w:eastAsia="zh-CN"/>
        </w:rPr>
        <w:t>采购代理机构：卓安项目管理有限公司</w:t>
      </w:r>
    </w:p>
    <w:p>
      <w:pPr>
        <w:spacing w:beforeLines="70" w:line="560" w:lineRule="exact"/>
        <w:ind w:firstLine="3213" w:firstLineChars="100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二零</w:t>
      </w:r>
      <w:r>
        <w:rPr>
          <w:rFonts w:hint="eastAsia" w:ascii="仿宋" w:hAnsi="仿宋" w:eastAsia="仿宋" w:cs="仿宋"/>
          <w:b/>
          <w:bCs/>
          <w:color w:val="auto"/>
          <w:sz w:val="32"/>
          <w:szCs w:val="32"/>
          <w:highlight w:val="none"/>
          <w:lang w:val="en-US" w:eastAsia="zh-CN"/>
        </w:rPr>
        <w:t>二三</w:t>
      </w:r>
      <w:r>
        <w:rPr>
          <w:rFonts w:hint="eastAsia" w:ascii="仿宋" w:hAnsi="仿宋" w:eastAsia="仿宋" w:cs="仿宋"/>
          <w:b/>
          <w:bCs/>
          <w:color w:val="auto"/>
          <w:sz w:val="32"/>
          <w:szCs w:val="32"/>
          <w:highlight w:val="none"/>
        </w:rPr>
        <w:t>年</w:t>
      </w:r>
      <w:r>
        <w:rPr>
          <w:rFonts w:hint="eastAsia" w:ascii="仿宋" w:hAnsi="仿宋" w:eastAsia="仿宋" w:cs="仿宋"/>
          <w:b/>
          <w:bCs/>
          <w:color w:val="auto"/>
          <w:sz w:val="32"/>
          <w:szCs w:val="32"/>
          <w:highlight w:val="none"/>
          <w:lang w:val="en-US" w:eastAsia="zh-CN"/>
        </w:rPr>
        <w:t>三</w:t>
      </w:r>
      <w:r>
        <w:rPr>
          <w:rFonts w:hint="eastAsia" w:ascii="仿宋" w:hAnsi="仿宋" w:eastAsia="仿宋" w:cs="仿宋"/>
          <w:b/>
          <w:bCs/>
          <w:color w:val="auto"/>
          <w:sz w:val="32"/>
          <w:szCs w:val="32"/>
          <w:highlight w:val="none"/>
        </w:rPr>
        <w:t>月</w:t>
      </w:r>
    </w:p>
    <w:p>
      <w:pPr>
        <w:pStyle w:val="12"/>
        <w:rPr>
          <w:rFonts w:hint="eastAsia" w:ascii="仿宋" w:hAnsi="仿宋" w:eastAsia="仿宋" w:cs="仿宋"/>
          <w:color w:val="auto"/>
          <w:highlight w:val="none"/>
        </w:rPr>
      </w:pPr>
    </w:p>
    <w:p>
      <w:pPr>
        <w:rPr>
          <w:rFonts w:hint="eastAsia" w:ascii="仿宋" w:hAnsi="仿宋" w:eastAsia="仿宋" w:cs="仿宋"/>
          <w:color w:val="auto"/>
          <w:sz w:val="48"/>
          <w:szCs w:val="48"/>
          <w:highlight w:val="none"/>
          <w:lang w:val="zh-CN"/>
        </w:rPr>
        <w:sectPr>
          <w:headerReference r:id="rId5" w:type="first"/>
          <w:footerReference r:id="rId8" w:type="first"/>
          <w:headerReference r:id="rId3" w:type="default"/>
          <w:footerReference r:id="rId6" w:type="default"/>
          <w:headerReference r:id="rId4" w:type="even"/>
          <w:footerReference r:id="rId7" w:type="even"/>
          <w:pgSz w:w="11907" w:h="16840"/>
          <w:pgMar w:top="1417" w:right="1134" w:bottom="1417" w:left="1304" w:header="907" w:footer="567" w:gutter="567"/>
          <w:pgNumType w:start="1"/>
          <w:cols w:space="0" w:num="1"/>
          <w:titlePg/>
          <w:docGrid w:linePitch="312" w:charSpace="0"/>
        </w:sectPr>
      </w:pPr>
      <w:r>
        <w:rPr>
          <w:rFonts w:hint="eastAsia" w:ascii="仿宋" w:hAnsi="仿宋" w:eastAsia="仿宋" w:cs="仿宋"/>
          <w:color w:val="auto"/>
          <w:sz w:val="48"/>
          <w:szCs w:val="48"/>
          <w:highlight w:val="none"/>
          <w:lang w:val="zh-CN"/>
        </w:rPr>
        <w:br w:type="page"/>
      </w:r>
    </w:p>
    <w:p>
      <w:pPr>
        <w:jc w:val="center"/>
        <w:rPr>
          <w:rFonts w:hint="eastAsia" w:ascii="仿宋" w:hAnsi="仿宋" w:eastAsia="仿宋" w:cs="仿宋"/>
          <w:b/>
          <w:color w:val="auto"/>
          <w:spacing w:val="140"/>
          <w:sz w:val="52"/>
          <w:szCs w:val="52"/>
          <w:highlight w:val="none"/>
          <w:u w:val="double"/>
        </w:rPr>
      </w:pPr>
      <w:r>
        <w:rPr>
          <w:rFonts w:hint="eastAsia" w:ascii="仿宋" w:hAnsi="仿宋" w:eastAsia="仿宋" w:cs="仿宋"/>
          <w:b/>
          <w:color w:val="auto"/>
          <w:spacing w:val="140"/>
          <w:sz w:val="52"/>
          <w:szCs w:val="52"/>
          <w:highlight w:val="none"/>
          <w:u w:val="double"/>
        </w:rPr>
        <w:t>特别提示</w:t>
      </w:r>
    </w:p>
    <w:p>
      <w:pPr>
        <w:ind w:firstLine="422"/>
        <w:rPr>
          <w:rFonts w:hint="eastAsia" w:ascii="仿宋" w:hAnsi="仿宋" w:eastAsia="仿宋" w:cs="仿宋"/>
          <w:b/>
          <w:color w:val="auto"/>
          <w:sz w:val="21"/>
          <w:szCs w:val="21"/>
          <w:highlight w:val="none"/>
        </w:rPr>
      </w:pPr>
    </w:p>
    <w:p>
      <w:pPr>
        <w:keepNext w:val="0"/>
        <w:keepLines w:val="0"/>
        <w:pageBreakBefore w:val="0"/>
        <w:widowControl w:val="0"/>
        <w:kinsoku/>
        <w:wordWrap/>
        <w:overflowPunct/>
        <w:topLinePunct w:val="0"/>
        <w:autoSpaceDE/>
        <w:autoSpaceDN/>
        <w:bidi w:val="0"/>
        <w:adjustRightInd/>
        <w:snapToGrid/>
        <w:spacing w:line="620" w:lineRule="exact"/>
        <w:ind w:firstLine="422"/>
        <w:textAlignment w:val="auto"/>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各投标人</w:t>
      </w:r>
      <w:r>
        <w:rPr>
          <w:rFonts w:hint="eastAsia" w:ascii="仿宋" w:hAnsi="仿宋" w:eastAsia="仿宋" w:cs="仿宋"/>
          <w:color w:val="auto"/>
          <w:szCs w:val="24"/>
          <w:highlight w:val="none"/>
        </w:rPr>
        <w:t>：在此我们特别善意地提醒您注意！</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本项目采用电子化投标的方式投标，供应商须使用数字认证证书（CA锁）对电子投标文件进行签章、加密、递交及开标时解密等相关招投标事宜。开标时供应商须携带数字认证证书（CA锁），如因供应商自身原因未携带数字认证证书（CA锁）造成无法解密投标文件，按无效投标对待。</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2、电子投标文件的制作和签章</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电子投标文件（*.SXSTF）需要使用专用制作软件—“新点投标文件制作软件（陕西公共资源）”进行编制。软件下载地址及操作手册：见西安市公共资源交易平台〖首页〉服务指南〉下载专区〗中的《政府采购项目投标文件制作软件及操作手册》。</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链接地址：</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http://sxggzyjy.xa.gov.cn/fwzn/004003/20181115/4d59c184-e8f6-4d5a-a416-c2f6b0601e66.html</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编制电子投标文件前，务必先做好电子招标文件的备份工作。然后按操作手册中给出的方法将电子招标文件（*.SXSZF）或答疑文件（*.SXSCF，即更新后的电子招标文件）导入制作软件，最后按照章节分别编制投标文件各个部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再次提醒：提交投标文件截止时间前，供应商应随时留意“政府采购信息发布媒体”上可能发布的变更公告。若变更公告中明确注明本项目伴有变更文件的，供应商应登录企业端后，从〖项目流程·〉项目管理·〉答疑文件下载〗获取更新后的电子招标文件（*.SXSCF），使用旧版电子招标文件制作的电子投标文件（*.SXSTF），系统将拒绝接收。</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3）电子投标文件制作过程中，需要法定代表人签字或盖章的地方，请使用“法人CA锁”进行签章；需要加盖供应商公章的地方，请使用“企业CA锁”进行签章。</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若导出的PDF文件里看不到签章，请尝试使用专用制作软件中的“查看投标文件工具”打开未加密的电子投标文件重新导出。在制作过程中，如有其他技术性问题，请先翻阅操作手册，或致电软件开发商。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3、递交电子投标文件的加密和提交</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1）在生成电子投标文件时，需要使用CA锁对投标文件进行加密。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注意：加密投标文件和开标时解密投标文件应当使用同一CA，否则将会导致解密失败。</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电子投标文件可于提交投标文件截止时间前任意时段，登录西安市公共资源交易平台〖首页·〉电子交易平台·〉企业端〗，登录后切换到〖我的项目〗模块下，依次点选〖项目流程·〉项目管理·〉上传响应文件〗，上传加密后的电子投标文件（*.SXSTF）。上传成功后，西安市公共资源交易平台政府采购系统将予以记录。</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color w:val="auto"/>
          <w:highlight w:val="none"/>
        </w:rPr>
      </w:pPr>
      <w:r>
        <w:rPr>
          <w:rFonts w:hint="eastAsia" w:ascii="仿宋" w:hAnsi="仿宋" w:eastAsia="仿宋" w:cs="仿宋"/>
          <w:color w:val="auto"/>
          <w:szCs w:val="24"/>
          <w:highlight w:val="none"/>
          <w:lang w:val="en-US" w:eastAsia="zh-CN"/>
        </w:rPr>
        <w:t>3）上传文件有误或需要重新提交的，可先撤销已经上传的文件，然后重新上传新文件。</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3" w:firstLineChars="275"/>
        <w:textAlignment w:val="auto"/>
        <w:rPr>
          <w:rFonts w:hint="eastAsia" w:ascii="仿宋" w:hAnsi="仿宋" w:eastAsia="仿宋" w:cs="仿宋"/>
          <w:b/>
          <w:bCs/>
          <w:color w:val="auto"/>
          <w:szCs w:val="24"/>
          <w:highlight w:val="none"/>
          <w:lang w:val="en-US" w:eastAsia="zh-CN"/>
        </w:rPr>
      </w:pPr>
      <w:r>
        <w:rPr>
          <w:rFonts w:hint="eastAsia" w:ascii="仿宋" w:hAnsi="仿宋" w:eastAsia="仿宋" w:cs="仿宋"/>
          <w:b/>
          <w:bCs/>
          <w:color w:val="auto"/>
          <w:szCs w:val="24"/>
          <w:highlight w:val="none"/>
          <w:lang w:val="en-US" w:eastAsia="zh-CN"/>
        </w:rPr>
        <w:t>4、</w:t>
      </w:r>
      <w:r>
        <w:rPr>
          <w:rFonts w:hint="eastAsia" w:ascii="仿宋" w:hAnsi="仿宋" w:eastAsia="仿宋" w:cs="仿宋"/>
          <w:b/>
          <w:bCs/>
          <w:color w:val="auto"/>
          <w:szCs w:val="24"/>
          <w:highlight w:val="none"/>
        </w:rPr>
        <w:t>请</w:t>
      </w:r>
      <w:r>
        <w:rPr>
          <w:rFonts w:hint="eastAsia" w:ascii="仿宋" w:hAnsi="仿宋" w:eastAsia="仿宋" w:cs="仿宋"/>
          <w:b/>
          <w:bCs/>
          <w:color w:val="auto"/>
          <w:szCs w:val="24"/>
          <w:highlight w:val="none"/>
          <w:lang w:eastAsia="zh-CN"/>
        </w:rPr>
        <w:t>您</w:t>
      </w:r>
      <w:r>
        <w:rPr>
          <w:rFonts w:hint="eastAsia" w:ascii="仿宋" w:hAnsi="仿宋" w:eastAsia="仿宋" w:cs="仿宋"/>
          <w:b/>
          <w:bCs/>
          <w:color w:val="auto"/>
          <w:szCs w:val="24"/>
          <w:highlight w:val="none"/>
        </w:rPr>
        <w:t>按照《陕西省财政厅关于政府采购</w:t>
      </w:r>
      <w:r>
        <w:rPr>
          <w:rFonts w:hint="eastAsia" w:ascii="仿宋" w:hAnsi="仿宋" w:eastAsia="仿宋" w:cs="仿宋"/>
          <w:b/>
          <w:bCs/>
          <w:color w:val="auto"/>
          <w:szCs w:val="24"/>
          <w:highlight w:val="none"/>
          <w:lang w:eastAsia="zh-CN"/>
        </w:rPr>
        <w:t>供应商</w:t>
      </w:r>
      <w:r>
        <w:rPr>
          <w:rFonts w:hint="eastAsia" w:ascii="仿宋" w:hAnsi="仿宋" w:eastAsia="仿宋" w:cs="仿宋"/>
          <w:b/>
          <w:bCs/>
          <w:color w:val="auto"/>
          <w:szCs w:val="24"/>
          <w:highlight w:val="none"/>
        </w:rPr>
        <w:t>注册登记有关事项的通知》</w:t>
      </w:r>
      <w:r>
        <w:rPr>
          <w:rFonts w:hint="eastAsia" w:ascii="仿宋" w:hAnsi="仿宋" w:eastAsia="仿宋" w:cs="仿宋"/>
          <w:b/>
          <w:bCs/>
          <w:color w:val="auto"/>
          <w:szCs w:val="24"/>
          <w:highlight w:val="none"/>
          <w:lang w:val="en-US" w:eastAsia="zh-CN"/>
        </w:rPr>
        <w:t>中的要求，通过陕西省政府采购网（http://www.ccgp-shaanxi.gov.cn/）注册登记加入陕西省政府采购供应商库，并接受财政部门的监督管理。</w:t>
      </w:r>
    </w:p>
    <w:p>
      <w:pPr>
        <w:keepNext w:val="0"/>
        <w:keepLines w:val="0"/>
        <w:pageBreakBefore w:val="0"/>
        <w:widowControl w:val="0"/>
        <w:tabs>
          <w:tab w:val="left" w:pos="1064"/>
        </w:tabs>
        <w:kinsoku/>
        <w:wordWrap/>
        <w:overflowPunct/>
        <w:topLinePunct w:val="0"/>
        <w:autoSpaceDE/>
        <w:autoSpaceDN/>
        <w:bidi w:val="0"/>
        <w:adjustRightInd/>
        <w:snapToGrid/>
        <w:spacing w:line="620" w:lineRule="exact"/>
        <w:ind w:firstLine="660" w:firstLineChars="275"/>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谨记上述提示，将有助您顺利地参加投标。若有什么需要帮助，请您与我们的工作人员联系，我们将竭诚为您服务。</w:t>
      </w:r>
    </w:p>
    <w:p>
      <w:pPr>
        <w:keepNext w:val="0"/>
        <w:keepLines w:val="0"/>
        <w:pageBreakBefore w:val="0"/>
        <w:widowControl w:val="0"/>
        <w:tabs>
          <w:tab w:val="left" w:pos="1064"/>
        </w:tabs>
        <w:kinsoku/>
        <w:wordWrap/>
        <w:overflowPunct/>
        <w:topLinePunct w:val="0"/>
        <w:autoSpaceDE/>
        <w:autoSpaceDN/>
        <w:bidi w:val="0"/>
        <w:adjustRightInd/>
        <w:snapToGrid/>
        <w:spacing w:line="640" w:lineRule="exact"/>
        <w:ind w:firstLine="660" w:firstLineChars="275"/>
        <w:textAlignment w:val="auto"/>
        <w:rPr>
          <w:rFonts w:hint="eastAsia" w:ascii="仿宋" w:hAnsi="仿宋" w:eastAsia="仿宋" w:cs="仿宋"/>
          <w:color w:val="auto"/>
          <w:szCs w:val="24"/>
          <w:highlight w:val="none"/>
          <w:lang w:val="zh-CN" w:eastAsia="zh-CN"/>
        </w:rPr>
      </w:pPr>
    </w:p>
    <w:p>
      <w:pPr>
        <w:pStyle w:val="35"/>
        <w:spacing w:before="0" w:line="560" w:lineRule="exact"/>
        <w:jc w:val="center"/>
        <w:rPr>
          <w:rFonts w:hint="eastAsia" w:ascii="仿宋" w:hAnsi="仿宋" w:eastAsia="仿宋" w:cs="仿宋"/>
          <w:color w:val="auto"/>
          <w:sz w:val="48"/>
          <w:szCs w:val="48"/>
          <w:highlight w:val="none"/>
          <w:lang w:val="zh-CN"/>
        </w:rPr>
        <w:sectPr>
          <w:footerReference r:id="rId10" w:type="first"/>
          <w:footerReference r:id="rId9" w:type="default"/>
          <w:pgSz w:w="11907" w:h="16840"/>
          <w:pgMar w:top="1417" w:right="1134" w:bottom="1417" w:left="1304" w:header="935" w:footer="771" w:gutter="567"/>
          <w:pgNumType w:start="1"/>
          <w:cols w:space="0" w:num="1"/>
          <w:titlePg/>
          <w:docGrid w:linePitch="312" w:charSpace="0"/>
        </w:sectPr>
      </w:pPr>
    </w:p>
    <w:p>
      <w:pPr>
        <w:pStyle w:val="35"/>
        <w:spacing w:before="0" w:line="560" w:lineRule="exact"/>
        <w:jc w:val="center"/>
        <w:rPr>
          <w:rFonts w:hint="eastAsia" w:ascii="仿宋" w:hAnsi="仿宋" w:eastAsia="仿宋" w:cs="仿宋"/>
          <w:color w:val="auto"/>
          <w:sz w:val="48"/>
          <w:szCs w:val="48"/>
          <w:highlight w:val="none"/>
          <w:lang w:val="zh-CN"/>
        </w:rPr>
      </w:pPr>
      <w:r>
        <w:rPr>
          <w:rFonts w:hint="eastAsia" w:ascii="仿宋" w:hAnsi="仿宋" w:eastAsia="仿宋" w:cs="仿宋"/>
          <w:color w:val="auto"/>
          <w:sz w:val="48"/>
          <w:szCs w:val="48"/>
          <w:highlight w:val="none"/>
          <w:lang w:val="zh-CN"/>
        </w:rPr>
        <w:t xml:space="preserve">目 </w:t>
      </w:r>
      <w:r>
        <w:rPr>
          <w:rFonts w:hint="eastAsia" w:ascii="仿宋" w:hAnsi="仿宋" w:eastAsia="仿宋" w:cs="仿宋"/>
          <w:color w:val="auto"/>
          <w:sz w:val="48"/>
          <w:szCs w:val="48"/>
          <w:highlight w:val="none"/>
          <w:lang w:val="en-US" w:eastAsia="zh-CN"/>
        </w:rPr>
        <w:t xml:space="preserve"> </w:t>
      </w:r>
      <w:r>
        <w:rPr>
          <w:rFonts w:hint="eastAsia" w:ascii="仿宋" w:hAnsi="仿宋" w:eastAsia="仿宋" w:cs="仿宋"/>
          <w:color w:val="auto"/>
          <w:sz w:val="48"/>
          <w:szCs w:val="48"/>
          <w:highlight w:val="none"/>
          <w:lang w:val="zh-CN"/>
        </w:rPr>
        <w:t>录</w:t>
      </w:r>
    </w:p>
    <w:p>
      <w:pPr>
        <w:rPr>
          <w:rFonts w:hint="eastAsia"/>
          <w:color w:val="auto"/>
          <w:highlight w:val="none"/>
          <w:lang w:val="zh-CN"/>
        </w:rPr>
      </w:pP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TOC \o "1-3" \h \z \u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_Toc10471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第一章  招标公告</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_Toc10471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_Toc25105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第二章  投标人须知</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_Toc25105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_Toc3843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一、投标人须知前附表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_Toc3843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18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_Toc14091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二、项目说明</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_Toc14091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_Toc18887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三、招标文件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_Toc18887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_Toc27338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四、投标文件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_Toc27338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25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_Toc20235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五</w:t>
      </w:r>
      <w:r>
        <w:rPr>
          <w:rFonts w:hint="eastAsia" w:ascii="仿宋" w:hAnsi="仿宋" w:eastAsia="仿宋" w:cs="仿宋"/>
          <w:color w:val="auto"/>
          <w:kern w:val="0"/>
          <w:sz w:val="24"/>
          <w:szCs w:val="24"/>
          <w:highlight w:val="none"/>
        </w:rPr>
        <w:t>、投标</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_Toc20235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30</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_Toc5023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六</w:t>
      </w:r>
      <w:r>
        <w:rPr>
          <w:rFonts w:hint="eastAsia" w:ascii="仿宋" w:hAnsi="仿宋" w:eastAsia="仿宋" w:cs="仿宋"/>
          <w:color w:val="auto"/>
          <w:kern w:val="0"/>
          <w:sz w:val="24"/>
          <w:szCs w:val="24"/>
          <w:highlight w:val="none"/>
        </w:rPr>
        <w:t>、开标、</w:t>
      </w:r>
      <w:r>
        <w:rPr>
          <w:rFonts w:hint="eastAsia" w:ascii="仿宋" w:hAnsi="仿宋" w:eastAsia="仿宋" w:cs="仿宋"/>
          <w:strike w:val="0"/>
          <w:dstrike w:val="0"/>
          <w:color w:val="auto"/>
          <w:kern w:val="0"/>
          <w:sz w:val="24"/>
          <w:szCs w:val="24"/>
          <w:highlight w:val="none"/>
        </w:rPr>
        <w:t>资格审查、</w:t>
      </w:r>
      <w:r>
        <w:rPr>
          <w:rFonts w:hint="eastAsia" w:ascii="仿宋" w:hAnsi="仿宋" w:eastAsia="仿宋" w:cs="仿宋"/>
          <w:color w:val="auto"/>
          <w:kern w:val="0"/>
          <w:sz w:val="24"/>
          <w:szCs w:val="24"/>
          <w:highlight w:val="none"/>
        </w:rPr>
        <w:t>评标和定标</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_Toc5023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31</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_Toc23628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七</w:t>
      </w:r>
      <w:r>
        <w:rPr>
          <w:rFonts w:hint="eastAsia" w:ascii="仿宋" w:hAnsi="仿宋" w:eastAsia="仿宋" w:cs="仿宋"/>
          <w:color w:val="auto"/>
          <w:kern w:val="0"/>
          <w:sz w:val="24"/>
          <w:szCs w:val="24"/>
          <w:highlight w:val="none"/>
        </w:rPr>
        <w:t>、合同</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_Toc23628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43</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_Toc16315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八</w:t>
      </w:r>
      <w:r>
        <w:rPr>
          <w:rFonts w:hint="eastAsia" w:ascii="仿宋" w:hAnsi="仿宋" w:eastAsia="仿宋" w:cs="仿宋"/>
          <w:color w:val="auto"/>
          <w:kern w:val="0"/>
          <w:sz w:val="24"/>
          <w:szCs w:val="24"/>
          <w:highlight w:val="none"/>
        </w:rPr>
        <w:t>、合同的履约验收</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_Toc16315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_Toc6905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九</w:t>
      </w:r>
      <w:r>
        <w:rPr>
          <w:rFonts w:hint="eastAsia" w:ascii="仿宋" w:hAnsi="仿宋" w:eastAsia="仿宋" w:cs="仿宋"/>
          <w:color w:val="auto"/>
          <w:kern w:val="0"/>
          <w:sz w:val="24"/>
          <w:szCs w:val="24"/>
          <w:highlight w:val="none"/>
        </w:rPr>
        <w:t>、招标服务费</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_Toc6905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_Toc32461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十、重新组织采购活动</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_Toc32461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_Toc8218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w:t>
      </w:r>
      <w:r>
        <w:rPr>
          <w:rFonts w:hint="eastAsia" w:ascii="仿宋" w:hAnsi="仿宋" w:eastAsia="仿宋" w:cs="仿宋"/>
          <w:color w:val="auto"/>
          <w:kern w:val="0"/>
          <w:sz w:val="24"/>
          <w:szCs w:val="24"/>
          <w:highlight w:val="none"/>
          <w:lang w:val="en-US" w:eastAsia="zh-CN"/>
        </w:rPr>
        <w:t>一</w:t>
      </w:r>
      <w:r>
        <w:rPr>
          <w:rFonts w:hint="eastAsia" w:ascii="仿宋" w:hAnsi="仿宋" w:eastAsia="仿宋" w:cs="仿宋"/>
          <w:color w:val="auto"/>
          <w:kern w:val="0"/>
          <w:sz w:val="24"/>
          <w:szCs w:val="24"/>
          <w:highlight w:val="none"/>
        </w:rPr>
        <w:t>、询问、质疑与投诉</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_Toc8218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45</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_Toc3461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lang w:val="en-US" w:eastAsia="zh-CN"/>
        </w:rPr>
        <w:t>十二、特殊情形的处理</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_Toc3461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6"/>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_Toc27199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十</w:t>
      </w:r>
      <w:r>
        <w:rPr>
          <w:rFonts w:hint="eastAsia" w:ascii="仿宋" w:hAnsi="仿宋" w:eastAsia="仿宋" w:cs="仿宋"/>
          <w:color w:val="auto"/>
          <w:kern w:val="0"/>
          <w:sz w:val="24"/>
          <w:szCs w:val="24"/>
          <w:highlight w:val="none"/>
          <w:lang w:val="en-US" w:eastAsia="zh-CN"/>
        </w:rPr>
        <w:t>三</w:t>
      </w:r>
      <w:r>
        <w:rPr>
          <w:rFonts w:hint="eastAsia" w:ascii="仿宋" w:hAnsi="仿宋" w:eastAsia="仿宋" w:cs="仿宋"/>
          <w:color w:val="auto"/>
          <w:kern w:val="0"/>
          <w:sz w:val="24"/>
          <w:szCs w:val="24"/>
          <w:highlight w:val="none"/>
        </w:rPr>
        <w:t>、拒绝商业贿赂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_Toc27199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46</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_Toc23118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第三章  采购内容及技术要求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_Toc23118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_Toc22491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kern w:val="0"/>
          <w:sz w:val="24"/>
          <w:szCs w:val="24"/>
          <w:highlight w:val="none"/>
        </w:rPr>
        <w:t>第四章  商务要求</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_Toc22491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48</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_Toc5308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第五章  合同条款</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_Toc5308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54</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14"/>
        <w:pageBreakBefore w:val="0"/>
        <w:widowControl w:val="0"/>
        <w:tabs>
          <w:tab w:val="right" w:leader="dot" w:pos="8902"/>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HYPERLINK \l _Toc8559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第六章 投标文件格式</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PAGEREF _Toc8559 \h </w:instrText>
      </w:r>
      <w:r>
        <w:rPr>
          <w:rFonts w:hint="eastAsia" w:ascii="仿宋" w:hAnsi="仿宋" w:eastAsia="仿宋" w:cs="仿宋"/>
          <w:color w:val="auto"/>
          <w:sz w:val="24"/>
          <w:szCs w:val="24"/>
          <w:highlight w:val="none"/>
        </w:rPr>
        <w:fldChar w:fldCharType="separate"/>
      </w:r>
      <w:r>
        <w:rPr>
          <w:rFonts w:hint="eastAsia" w:ascii="仿宋" w:hAnsi="仿宋" w:eastAsia="仿宋" w:cs="仿宋"/>
          <w:color w:val="auto"/>
          <w:sz w:val="24"/>
          <w:szCs w:val="24"/>
          <w:highlight w:val="none"/>
        </w:rPr>
        <w:t>72</w: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fldChar w:fldCharType="end"/>
      </w:r>
    </w:p>
    <w:p>
      <w:pPr>
        <w:pStyle w:val="3"/>
        <w:pageBreakBefore w:val="0"/>
        <w:widowControl w:val="0"/>
        <w:numPr>
          <w:ilvl w:val="0"/>
          <w:numId w:val="0"/>
        </w:numPr>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highlight w:val="none"/>
        </w:rPr>
      </w:pPr>
      <w:r>
        <w:rPr>
          <w:rFonts w:hint="eastAsia" w:ascii="仿宋" w:hAnsi="仿宋" w:eastAsia="仿宋" w:cs="仿宋"/>
          <w:color w:val="auto"/>
          <w:sz w:val="24"/>
          <w:szCs w:val="24"/>
          <w:highlight w:val="none"/>
        </w:rPr>
        <w:fldChar w:fldCharType="end"/>
      </w:r>
      <w:bookmarkStart w:id="0" w:name="_Toc458617729"/>
      <w:bookmarkStart w:id="1" w:name="_Toc19866"/>
      <w:bookmarkStart w:id="2" w:name="_Toc30185"/>
      <w:bookmarkStart w:id="3" w:name="_Toc10471"/>
      <w:bookmarkStart w:id="4" w:name="_Toc458617452"/>
      <w:r>
        <w:rPr>
          <w:rFonts w:hint="eastAsia" w:ascii="仿宋" w:hAnsi="仿宋" w:eastAsia="仿宋" w:cs="仿宋"/>
          <w:color w:val="auto"/>
          <w:highlight w:val="none"/>
        </w:rPr>
        <w:t xml:space="preserve"> 第</w:t>
      </w:r>
      <w:r>
        <w:rPr>
          <w:rFonts w:hint="eastAsia" w:ascii="仿宋" w:hAnsi="仿宋" w:eastAsia="仿宋" w:cs="仿宋"/>
          <w:color w:val="auto"/>
          <w:highlight w:val="none"/>
          <w:lang w:eastAsia="zh-CN"/>
        </w:rPr>
        <w:t>一</w:t>
      </w:r>
      <w:r>
        <w:rPr>
          <w:rFonts w:hint="eastAsia" w:ascii="仿宋" w:hAnsi="仿宋" w:eastAsia="仿宋" w:cs="仿宋"/>
          <w:color w:val="auto"/>
          <w:highlight w:val="none"/>
        </w:rPr>
        <w:t>章</w:t>
      </w:r>
      <w:r>
        <w:rPr>
          <w:rFonts w:hint="eastAsia" w:ascii="仿宋" w:hAnsi="仿宋" w:eastAsia="仿宋" w:cs="仿宋"/>
          <w:color w:val="auto"/>
          <w:highlight w:val="none"/>
          <w:lang w:val="en-US" w:eastAsia="zh-CN"/>
        </w:rPr>
        <w:t xml:space="preserve"> </w:t>
      </w:r>
      <w:r>
        <w:rPr>
          <w:rFonts w:hint="eastAsia" w:ascii="仿宋" w:hAnsi="仿宋" w:eastAsia="仿宋" w:cs="仿宋"/>
          <w:color w:val="auto"/>
          <w:highlight w:val="none"/>
        </w:rPr>
        <w:t>招标公告</w:t>
      </w:r>
      <w:bookmarkEnd w:id="0"/>
      <w:bookmarkEnd w:id="1"/>
      <w:bookmarkEnd w:id="2"/>
      <w:bookmarkEnd w:id="3"/>
      <w:bookmarkEnd w:id="4"/>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4"/>
          <w:szCs w:val="24"/>
          <w:highlight w:val="none"/>
          <w:u w:val="none" w:color="auto"/>
          <w:lang w:eastAsia="zh-CN"/>
        </w:rPr>
      </w:pPr>
      <w:r>
        <w:rPr>
          <w:rFonts w:hint="eastAsia" w:ascii="仿宋" w:hAnsi="仿宋" w:eastAsia="仿宋" w:cs="仿宋"/>
          <w:b/>
          <w:bCs/>
          <w:color w:val="auto"/>
          <w:sz w:val="24"/>
          <w:szCs w:val="24"/>
          <w:highlight w:val="none"/>
          <w:u w:val="none" w:color="auto"/>
          <w:lang w:eastAsia="zh-CN"/>
        </w:rPr>
        <w:t>项目概况</w:t>
      </w:r>
    </w:p>
    <w:p>
      <w:pPr>
        <w:pStyle w:val="47"/>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b w:val="0"/>
          <w:bCs w:val="0"/>
          <w:color w:val="auto"/>
          <w:highlight w:val="none"/>
        </w:rPr>
      </w:pPr>
      <w:r>
        <w:rPr>
          <w:rFonts w:hint="eastAsia" w:ascii="仿宋" w:hAnsi="仿宋" w:eastAsia="仿宋" w:cs="仿宋"/>
          <w:b w:val="0"/>
          <w:bCs w:val="0"/>
          <w:color w:val="auto"/>
          <w:kern w:val="2"/>
          <w:sz w:val="24"/>
          <w:szCs w:val="24"/>
          <w:highlight w:val="none"/>
          <w:u w:val="none"/>
          <w:lang w:val="en-US" w:eastAsia="zh-CN" w:bidi="ar-SA"/>
        </w:rPr>
        <w:t>渭河高陵段已建成工程维修养护项目潜在投标人应在全国公共资源交易平台（陕西省·西安市）网站〖首页〉电子交易平台〉陕西政府采购交易系统〉企业端〗获取招标文件，并于（2023年4月7日9:30）（北京时间）前递交投标文件。</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项目基本情况</w:t>
      </w:r>
    </w:p>
    <w:p>
      <w:pPr>
        <w:pStyle w:val="19"/>
        <w:keepNext w:val="0"/>
        <w:keepLines w:val="0"/>
        <w:pageBreakBefore w:val="0"/>
        <w:widowControl w:val="0"/>
        <w:numPr>
          <w:ilvl w:val="0"/>
          <w:numId w:val="2"/>
        </w:numPr>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b w:val="0"/>
          <w:bCs w:val="0"/>
          <w:color w:val="auto"/>
          <w:kern w:val="2"/>
          <w:sz w:val="24"/>
          <w:szCs w:val="24"/>
          <w:highlight w:val="none"/>
          <w:u w:val="none" w:color="auto"/>
          <w:lang w:val="en-US" w:eastAsia="zh-CN" w:bidi="ar-SA"/>
        </w:rPr>
      </w:pPr>
      <w:r>
        <w:rPr>
          <w:rFonts w:hint="eastAsia" w:ascii="仿宋" w:hAnsi="仿宋" w:eastAsia="仿宋" w:cs="仿宋"/>
          <w:color w:val="auto"/>
          <w:highlight w:val="none"/>
        </w:rPr>
        <w:t>项目编</w:t>
      </w:r>
      <w:r>
        <w:rPr>
          <w:rFonts w:hint="eastAsia" w:ascii="仿宋" w:hAnsi="仿宋" w:eastAsia="仿宋" w:cs="仿宋"/>
          <w:color w:val="auto"/>
          <w:highlight w:val="none"/>
          <w:u w:val="none" w:color="auto"/>
        </w:rPr>
        <w:t>号：</w:t>
      </w:r>
      <w:r>
        <w:rPr>
          <w:rFonts w:hint="eastAsia" w:ascii="仿宋" w:hAnsi="仿宋" w:eastAsia="仿宋" w:cs="仿宋"/>
          <w:b w:val="0"/>
          <w:bCs w:val="0"/>
          <w:color w:val="auto"/>
          <w:kern w:val="2"/>
          <w:sz w:val="24"/>
          <w:szCs w:val="24"/>
          <w:highlight w:val="none"/>
          <w:u w:val="none" w:color="auto"/>
          <w:lang w:val="en-US" w:eastAsia="zh-CN" w:bidi="ar-SA"/>
        </w:rPr>
        <w:t>ZAGL-2023-008</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ascii="仿宋" w:hAnsi="仿宋" w:eastAsia="仿宋" w:cs="仿宋"/>
          <w:b w:val="0"/>
          <w:bCs w:val="0"/>
          <w:color w:val="auto"/>
          <w:kern w:val="2"/>
          <w:sz w:val="24"/>
          <w:szCs w:val="24"/>
          <w:highlight w:val="none"/>
          <w:u w:val="none" w:color="auto"/>
          <w:lang w:val="en-US" w:eastAsia="zh-CN" w:bidi="ar-SA"/>
        </w:rPr>
      </w:pPr>
      <w:r>
        <w:rPr>
          <w:rFonts w:hint="eastAsia" w:ascii="仿宋" w:hAnsi="仿宋" w:eastAsia="仿宋" w:cs="仿宋"/>
          <w:color w:val="auto"/>
          <w:highlight w:val="none"/>
          <w:u w:val="none" w:color="auto"/>
        </w:rPr>
        <w:t>2、项目名称：</w:t>
      </w:r>
      <w:r>
        <w:rPr>
          <w:rFonts w:hint="eastAsia" w:ascii="仿宋" w:hAnsi="仿宋" w:eastAsia="仿宋" w:cs="仿宋"/>
          <w:b w:val="0"/>
          <w:bCs w:val="0"/>
          <w:color w:val="auto"/>
          <w:kern w:val="2"/>
          <w:sz w:val="24"/>
          <w:szCs w:val="24"/>
          <w:highlight w:val="none"/>
          <w:u w:val="none" w:color="auto"/>
          <w:lang w:val="en-US" w:eastAsia="zh-CN" w:bidi="ar-SA"/>
        </w:rPr>
        <w:t>渭河高陵段已建成工程维修养护项目</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color="auto"/>
          <w:lang w:val="en-US" w:eastAsia="zh-CN"/>
        </w:rPr>
      </w:pPr>
      <w:r>
        <w:rPr>
          <w:rFonts w:hint="eastAsia" w:ascii="仿宋" w:hAnsi="仿宋" w:eastAsia="仿宋" w:cs="仿宋"/>
          <w:color w:val="auto"/>
          <w:highlight w:val="none"/>
          <w:u w:val="none" w:color="auto"/>
          <w:lang w:val="en-US" w:eastAsia="zh-CN"/>
        </w:rPr>
        <w:t>3、采购方式：公开招标</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default" w:ascii="仿宋" w:hAnsi="仿宋" w:eastAsia="仿宋" w:cs="仿宋"/>
          <w:color w:val="auto"/>
          <w:highlight w:val="none"/>
          <w:u w:val="none" w:color="auto"/>
          <w:lang w:val="en-US" w:eastAsia="zh-CN"/>
        </w:rPr>
      </w:pPr>
      <w:r>
        <w:rPr>
          <w:rFonts w:hint="eastAsia" w:ascii="仿宋" w:hAnsi="仿宋" w:eastAsia="仿宋" w:cs="仿宋"/>
          <w:color w:val="auto"/>
          <w:highlight w:val="none"/>
          <w:u w:val="none" w:color="auto"/>
          <w:lang w:val="en-US" w:eastAsia="zh-CN"/>
        </w:rPr>
        <w:t xml:space="preserve">4、采购需求：                           </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合同包1(第一标段：渭河右岸灞桥与高陵交界处至210国道):</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合同包预算金额：2,100,000.00元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合同包最高限价：2,100,000.00元</w:t>
      </w:r>
    </w:p>
    <w:tbl>
      <w:tblPr>
        <w:tblStyle w:val="22"/>
        <w:tblW w:w="4998"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739"/>
        <w:gridCol w:w="1935"/>
        <w:gridCol w:w="722"/>
        <w:gridCol w:w="899"/>
        <w:gridCol w:w="1681"/>
        <w:gridCol w:w="168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1-1</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渭河右岸灞桥与高陵交界处至210国道</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2,100,000.00</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2,100,000.00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合同包2(第二标段：渭河右岸210国道至临潼交界处):</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合同包预算金额：2,490,000.00元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合同包最高限价：2,490,000.00元</w:t>
      </w:r>
    </w:p>
    <w:tbl>
      <w:tblPr>
        <w:tblStyle w:val="22"/>
        <w:tblW w:w="4998"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739"/>
        <w:gridCol w:w="1935"/>
        <w:gridCol w:w="722"/>
        <w:gridCol w:w="899"/>
        <w:gridCol w:w="1681"/>
        <w:gridCol w:w="1681"/>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2-1</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22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渭河右岸210国道至临潼交界处</w:t>
            </w:r>
          </w:p>
        </w:tc>
        <w:tc>
          <w:tcPr>
            <w:tcW w:w="40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81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2,490,000.00</w:t>
            </w:r>
          </w:p>
        </w:tc>
        <w:tc>
          <w:tcPr>
            <w:tcW w:w="491"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2,490,000.00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合同包3(第三标段：渭河左岸咸阳交界处至泾河入渭口大桥北桥头):</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合同包预算金额：3,400,000.00元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合同包最高限价：3,400,000.00元</w:t>
      </w:r>
    </w:p>
    <w:tbl>
      <w:tblPr>
        <w:tblStyle w:val="22"/>
        <w:tblW w:w="499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637"/>
        <w:gridCol w:w="2110"/>
        <w:gridCol w:w="722"/>
        <w:gridCol w:w="827"/>
        <w:gridCol w:w="1680"/>
        <w:gridCol w:w="168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3-1</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渭河左岸咸阳交界处至泾河入渭口大桥北桥头</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3,400,000.00</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3,400,000.00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48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合同包4(第四标段：渭河左岸泾河入渭口大桥北桥头至临潼交界处):</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合同包预算金额：3,610,000.00元</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合同包最高限价：3,610,000.00元</w:t>
      </w:r>
    </w:p>
    <w:tbl>
      <w:tblPr>
        <w:tblStyle w:val="22"/>
        <w:tblW w:w="4997"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Layout w:type="autofit"/>
        <w:tblCellMar>
          <w:top w:w="0" w:type="dxa"/>
          <w:left w:w="0" w:type="dxa"/>
          <w:bottom w:w="0" w:type="dxa"/>
          <w:right w:w="0" w:type="dxa"/>
        </w:tblCellMar>
      </w:tblPr>
      <w:tblGrid>
        <w:gridCol w:w="481"/>
        <w:gridCol w:w="1637"/>
        <w:gridCol w:w="2110"/>
        <w:gridCol w:w="722"/>
        <w:gridCol w:w="827"/>
        <w:gridCol w:w="1680"/>
        <w:gridCol w:w="1680"/>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728" w:hRule="atLeast"/>
          <w:tblHeader/>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品目号</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品目名称</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采购标的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数量（单位）</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技术规格、参数及要求</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品目预算(元)</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kern w:val="0"/>
                <w:sz w:val="24"/>
                <w:szCs w:val="24"/>
                <w:highlight w:val="none"/>
                <w:lang w:val="en-US" w:eastAsia="zh-CN" w:bidi="ar"/>
              </w:rPr>
              <w:t>最高限价(元)</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color="auto" w:fill="auto"/>
          <w:tblCellMar>
            <w:top w:w="0" w:type="dxa"/>
            <w:left w:w="0" w:type="dxa"/>
            <w:bottom w:w="0" w:type="dxa"/>
            <w:right w:w="0" w:type="dxa"/>
          </w:tblCellMar>
        </w:tblPrEx>
        <w:trPr>
          <w:trHeight w:val="480" w:hRule="atLeast"/>
        </w:trPr>
        <w:tc>
          <w:tcPr>
            <w:tcW w:w="318"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4-1</w:t>
            </w:r>
          </w:p>
        </w:tc>
        <w:tc>
          <w:tcPr>
            <w:tcW w:w="11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其他水利管理服务</w:t>
            </w:r>
          </w:p>
        </w:tc>
        <w:tc>
          <w:tcPr>
            <w:tcW w:w="1327"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渭河左岸泾河入渭口大桥北桥头至临潼交界处</w:t>
            </w:r>
          </w:p>
        </w:tc>
        <w:tc>
          <w:tcPr>
            <w:tcW w:w="399"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1(项)</w:t>
            </w:r>
          </w:p>
        </w:tc>
        <w:tc>
          <w:tcPr>
            <w:tcW w:w="793"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val="0"/>
              <w:spacing w:before="0" w:beforeAutospacing="0" w:after="0" w:afterAutospacing="0" w:line="360" w:lineRule="atLeast"/>
              <w:ind w:left="0" w:right="0"/>
              <w:jc w:val="center"/>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详见采购文件</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3,610,000.00</w:t>
            </w:r>
          </w:p>
        </w:tc>
        <w:tc>
          <w:tcPr>
            <w:tcW w:w="486" w:type="pct"/>
            <w:tcBorders>
              <w:top w:val="single" w:color="333333" w:sz="6" w:space="0"/>
              <w:left w:val="single" w:color="333333" w:sz="6" w:space="0"/>
              <w:bottom w:val="single" w:color="333333" w:sz="6" w:space="0"/>
              <w:right w:val="single" w:color="333333" w:sz="6" w:space="0"/>
            </w:tcBorders>
            <w:shd w:val="clear" w:color="auto" w:fill="auto"/>
            <w:tcMar>
              <w:top w:w="75" w:type="dxa"/>
              <w:left w:w="120" w:type="dxa"/>
              <w:bottom w:w="75" w:type="dxa"/>
              <w:right w:w="120" w:type="dxa"/>
            </w:tcMar>
            <w:vAlign w:val="center"/>
          </w:tcPr>
          <w:p>
            <w:pPr>
              <w:keepNext w:val="0"/>
              <w:keepLines w:val="0"/>
              <w:widowControl/>
              <w:suppressLineNumbers w:val="0"/>
              <w:wordWrap/>
              <w:spacing w:before="0" w:beforeAutospacing="0" w:after="0" w:afterAutospacing="0" w:line="360" w:lineRule="atLeast"/>
              <w:ind w:left="0" w:right="0"/>
              <w:jc w:val="right"/>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3,610,000.00</w:t>
            </w:r>
          </w:p>
        </w:tc>
      </w:tr>
    </w:tbl>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本合同包不接受联合体投标</w:t>
      </w:r>
    </w:p>
    <w:p>
      <w:pPr>
        <w:pStyle w:val="19"/>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480" w:lineRule="atLeast"/>
        <w:ind w:left="0" w:right="0" w:firstLine="630"/>
        <w:jc w:val="both"/>
        <w:rPr>
          <w:rFonts w:hint="eastAsia" w:ascii="仿宋" w:hAnsi="仿宋" w:eastAsia="仿宋" w:cs="仿宋"/>
          <w:color w:val="auto"/>
          <w:sz w:val="24"/>
          <w:szCs w:val="24"/>
          <w:highlight w:val="none"/>
        </w:rPr>
      </w:pPr>
      <w:r>
        <w:rPr>
          <w:rFonts w:hint="eastAsia" w:ascii="仿宋" w:hAnsi="仿宋" w:eastAsia="仿宋" w:cs="仿宋"/>
          <w:i w:val="0"/>
          <w:iCs w:val="0"/>
          <w:caps w:val="0"/>
          <w:color w:val="auto"/>
          <w:spacing w:val="0"/>
          <w:sz w:val="24"/>
          <w:szCs w:val="24"/>
          <w:highlight w:val="none"/>
          <w:shd w:val="clear" w:fill="FFFFFF"/>
        </w:rPr>
        <w:t>合同履行期限：无</w:t>
      </w:r>
    </w:p>
    <w:p>
      <w:pPr>
        <w:pStyle w:val="36"/>
        <w:keepNext w:val="0"/>
        <w:keepLines w:val="0"/>
        <w:pageBreakBefore w:val="0"/>
        <w:kinsoku/>
        <w:wordWrap/>
        <w:overflowPunct/>
        <w:topLinePunct w:val="0"/>
        <w:autoSpaceDE/>
        <w:autoSpaceDN/>
        <w:bidi w:val="0"/>
        <w:adjustRightInd/>
        <w:snapToGrid/>
        <w:spacing w:line="640" w:lineRule="exact"/>
        <w:ind w:left="0" w:leftChars="0" w:right="0" w:rightChars="0" w:firstLine="0" w:firstLineChars="0"/>
        <w:jc w:val="both"/>
        <w:textAlignment w:val="auto"/>
        <w:outlineLvl w:val="9"/>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二、申请人资格要求</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bCs/>
          <w:color w:val="auto"/>
          <w:sz w:val="24"/>
          <w:szCs w:val="24"/>
          <w:highlight w:val="none"/>
          <w:u w:val="none"/>
          <w:lang w:val="en-US" w:eastAsia="zh-CN"/>
        </w:rPr>
      </w:pPr>
      <w:r>
        <w:rPr>
          <w:rFonts w:hint="eastAsia" w:ascii="仿宋" w:hAnsi="仿宋" w:eastAsia="仿宋" w:cs="仿宋"/>
          <w:b/>
          <w:bCs/>
          <w:color w:val="auto"/>
          <w:sz w:val="24"/>
          <w:szCs w:val="24"/>
          <w:highlight w:val="none"/>
          <w:u w:val="none"/>
          <w:lang w:val="en-US" w:eastAsia="zh-CN"/>
        </w:rPr>
        <w:t>1、满足《中华人民共和国政府采购法》第二十二条规定</w:t>
      </w:r>
    </w:p>
    <w:p>
      <w:pPr>
        <w:pStyle w:val="2"/>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b/>
          <w:bCs/>
          <w:color w:val="auto"/>
          <w:sz w:val="24"/>
          <w:szCs w:val="24"/>
          <w:highlight w:val="none"/>
          <w:u w:val="none"/>
          <w:lang w:val="en-US" w:eastAsia="zh-CN"/>
        </w:rPr>
        <w:t>2、落实政府采购政</w:t>
      </w:r>
      <w:r>
        <w:rPr>
          <w:rFonts w:hint="eastAsia" w:ascii="仿宋" w:hAnsi="仿宋" w:eastAsia="仿宋" w:cs="仿宋"/>
          <w:b/>
          <w:bCs/>
          <w:color w:val="auto"/>
          <w:highlight w:val="none"/>
          <w:lang w:val="en-US" w:eastAsia="zh-CN"/>
        </w:rPr>
        <w:t>策需满足的资格要求：</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合同包1(第一标段：渭河右岸灞桥与高陵交界处至210国道)落实政府采购政策需满足的资格要求如下: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合同包2(第二标段：渭河右岸210国道至临潼交界处)落实政府采购政策需满足的资格要求如下: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合同包3(第三标段：渭河左岸咸阳交界处至泾河入渭口大桥北桥头)落实政府采购政策需满足的资格要求如下: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合同包4(第四标段：渭河左岸泾河入渭口大桥北桥头至临潼交界处)落实政府采购政策需满足的资格要求如下:</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（1）、《政府采购促进中小企业发展管理办法》的通知--财库[2020]46号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（2）、陕西省财政厅关于印发《陕西省中小企业政府采购信用融资办法》--(陕财办采[2018]23号)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（3）、《陕西省财政厅关于加快推进我省中小企业政府采购信用融资工作的通知》（陕财办采〔2020〕15号）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（4）、财政部司法部关于政府采购支持监狱企业发展有关问题的通知--财库〔2014〕68号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（5）、《国务院办公厅关于建立政府强制采购节能产品制度的通知》--国办发〔2007〕51号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（6）、《节能产品政府采购实施意见》（财库[2004]185号）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（7）、《环境标志产品政府采购实施的意见》（财库[2006]90号）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 xml:space="preserve">（8）、《财政部发展改革委生态环境部市场监督总局关于调整优化节能产品、环境标志产品政府采购执行机制的通知》--（财库[2019]9号） </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（9）、《市场监督总局关于发布参与实施政府采购节能产品、环境标志产品认证机构名录的公告》--2019年第16号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（10）、《财政部民政部中国残疾人联合会关于促进残疾人就业政府采购政策的通知》--（财库〔2017〕141号）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(11）、《财政部国务院扶贫办关于运用政府采购政策支持脱贫攻坚的通知》（财库〔2019〕27号）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color w:val="auto"/>
          <w:highlight w:val="none"/>
          <w:u w:val="none"/>
          <w:lang w:val="en-US" w:eastAsia="zh-CN"/>
        </w:rPr>
      </w:pPr>
      <w:r>
        <w:rPr>
          <w:rFonts w:hint="eastAsia" w:ascii="仿宋" w:hAnsi="仿宋" w:eastAsia="仿宋" w:cs="仿宋"/>
          <w:color w:val="auto"/>
          <w:highlight w:val="none"/>
          <w:u w:val="none"/>
          <w:lang w:val="en-US" w:eastAsia="zh-CN"/>
        </w:rPr>
        <w:t>（12）、《关于进一步加强政府绿色采购有关问题的通知》（陕财办采〔2021〕29号）</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（13）、其他需要落实的政府采购政策。</w:t>
      </w:r>
    </w:p>
    <w:p>
      <w:pPr>
        <w:pStyle w:val="19"/>
        <w:keepNext w:val="0"/>
        <w:keepLines w:val="0"/>
        <w:pageBreakBefore w:val="0"/>
        <w:widowControl w:val="0"/>
        <w:shd w:val="clear" w:color="auto" w:fill="FFFFFF"/>
        <w:kinsoku/>
        <w:wordWrap/>
        <w:overflowPunct/>
        <w:topLinePunct w:val="0"/>
        <w:autoSpaceDE/>
        <w:autoSpaceDN/>
        <w:bidi w:val="0"/>
        <w:adjustRightInd/>
        <w:snapToGrid/>
        <w:spacing w:before="0" w:beforeAutospacing="0" w:after="0" w:afterAutospacing="0" w:line="640" w:lineRule="exact"/>
        <w:ind w:firstLine="480"/>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 xml:space="preserve">3、本项目的特定资格要求：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1</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第一标段：渭河右岸灞桥与高陵交界处至210国道</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2</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第二标段：渭河右岸210国道至临潼交界处</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第三标段：渭河左岸咸阳交界处至泾河入渭口大桥北桥头</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本项目不接受联合体投标。</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合同包</w:t>
      </w: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val="en-US" w:eastAsia="zh-CN"/>
        </w:rPr>
        <w:t>第四标段：渭河左岸泾河入渭口大桥北桥头至临潼交界处</w:t>
      </w:r>
      <w:r>
        <w:rPr>
          <w:rFonts w:hint="eastAsia" w:ascii="仿宋" w:hAnsi="仿宋" w:eastAsia="仿宋" w:cs="仿宋"/>
          <w:color w:val="auto"/>
          <w:sz w:val="24"/>
          <w:highlight w:val="none"/>
        </w:rPr>
        <w:t>)特定资格要求如下</w:t>
      </w:r>
      <w:r>
        <w:rPr>
          <w:rFonts w:hint="eastAsia" w:ascii="仿宋" w:hAnsi="仿宋" w:eastAsia="仿宋" w:cs="仿宋"/>
          <w:color w:val="auto"/>
          <w:sz w:val="24"/>
          <w:highlight w:val="none"/>
          <w:lang w:eastAsia="zh-CN"/>
        </w:rPr>
        <w:t>：</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（1）基本资格条件：符合《中华人民共和国政府采购法》第二十二条的规定：</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2、财务状况报告：提供具有财务审计资质单位出具的</w:t>
      </w:r>
      <w:r>
        <w:rPr>
          <w:rFonts w:hint="eastAsia" w:ascii="仿宋" w:hAnsi="仿宋" w:eastAsia="仿宋" w:cs="仿宋"/>
          <w:color w:val="auto"/>
          <w:sz w:val="24"/>
          <w:szCs w:val="24"/>
          <w:highlight w:val="none"/>
          <w:lang w:val="en-US" w:eastAsia="zh-CN"/>
        </w:rPr>
        <w:t>2020年度或2021年度</w:t>
      </w:r>
      <w:r>
        <w:rPr>
          <w:rFonts w:hint="eastAsia" w:ascii="仿宋" w:hAnsi="仿宋" w:eastAsia="仿宋" w:cs="仿宋"/>
          <w:color w:val="auto"/>
          <w:sz w:val="24"/>
          <w:highlight w:val="none"/>
        </w:rPr>
        <w:t xml:space="preserve">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3、</w:t>
      </w:r>
      <w:r>
        <w:rPr>
          <w:rFonts w:hint="eastAsia" w:ascii="仿宋" w:hAnsi="仿宋" w:eastAsia="仿宋" w:cs="仿宋"/>
          <w:color w:val="auto"/>
          <w:sz w:val="24"/>
          <w:highlight w:val="none"/>
          <w:lang w:eastAsia="zh-CN"/>
        </w:rPr>
        <w:t>税收缴纳证明：提供2022年1月1日至今任意一个月的缴费凭据；（依法免税的投标人应提供相关文件证明）</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4、社会保障资金缴纳证明：提供</w:t>
      </w:r>
      <w:r>
        <w:rPr>
          <w:rFonts w:hint="eastAsia" w:ascii="仿宋" w:hAnsi="仿宋" w:eastAsia="仿宋" w:cs="仿宋"/>
          <w:color w:val="auto"/>
          <w:sz w:val="24"/>
          <w:highlight w:val="none"/>
          <w:lang w:val="en-US" w:eastAsia="zh-CN"/>
        </w:rPr>
        <w:t>2022年1月1日至今</w:t>
      </w:r>
      <w:r>
        <w:rPr>
          <w:rFonts w:hint="eastAsia" w:ascii="仿宋" w:hAnsi="仿宋" w:eastAsia="仿宋" w:cs="仿宋"/>
          <w:color w:val="auto"/>
          <w:sz w:val="24"/>
          <w:highlight w:val="none"/>
        </w:rPr>
        <w:t xml:space="preserve">任意一个月的社保缴费凭据或社保机构开具的社会保险参保缴费情况证明；（依法不需要缴纳社会保障资金的投标人应提供相关证明）。 </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5、提供具有履行本合同所必需的设备和专业技术能力的说明及承诺；（格式自拟，加盖投标人公章）</w:t>
      </w:r>
      <w:r>
        <w:rPr>
          <w:rFonts w:hint="eastAsia" w:ascii="仿宋" w:hAnsi="仿宋" w:eastAsia="仿宋" w:cs="仿宋"/>
          <w:color w:val="auto"/>
          <w:sz w:val="24"/>
          <w:highlight w:val="none"/>
        </w:rPr>
        <w:br w:type="textWrapping"/>
      </w:r>
      <w:r>
        <w:rPr>
          <w:rFonts w:hint="eastAsia" w:ascii="仿宋" w:hAnsi="仿宋" w:eastAsia="仿宋" w:cs="仿宋"/>
          <w:color w:val="auto"/>
          <w:sz w:val="24"/>
          <w:highlight w:val="none"/>
        </w:rPr>
        <w:t xml:space="preserve">    6、提供参加政府采购活动前三年内在经营活动中没有重大违法记录的书面声明。（格式自拟，加盖投标人公章）</w:t>
      </w:r>
    </w:p>
    <w:p>
      <w:pPr>
        <w:keepNext w:val="0"/>
        <w:keepLines w:val="0"/>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（2）、特定资格条件：</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6、本项目不接受联合体投标。</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highlight w:val="none"/>
        </w:rPr>
      </w:pPr>
      <w:r>
        <w:rPr>
          <w:rFonts w:hint="eastAsia" w:ascii="仿宋" w:hAnsi="仿宋" w:eastAsia="仿宋" w:cs="仿宋"/>
          <w:b/>
          <w:bCs/>
          <w:color w:val="auto"/>
          <w:highlight w:val="none"/>
          <w:lang w:val="en-US" w:eastAsia="zh-CN"/>
        </w:rPr>
        <w:t>三、 获取招标文件</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时间：202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lang w:val="en-US" w:eastAsia="zh-CN"/>
        </w:rPr>
        <w:t>14</w:t>
      </w:r>
      <w:r>
        <w:rPr>
          <w:rFonts w:hint="eastAsia" w:ascii="仿宋" w:hAnsi="仿宋" w:eastAsia="仿宋" w:cs="仿宋"/>
          <w:color w:val="auto"/>
          <w:szCs w:val="24"/>
          <w:highlight w:val="none"/>
        </w:rPr>
        <w:t>日至202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lang w:val="en-US" w:eastAsia="zh-CN"/>
        </w:rPr>
        <w:t>21</w:t>
      </w:r>
      <w:r>
        <w:rPr>
          <w:rFonts w:hint="eastAsia" w:ascii="仿宋" w:hAnsi="仿宋" w:eastAsia="仿宋" w:cs="仿宋"/>
          <w:color w:val="auto"/>
          <w:szCs w:val="24"/>
          <w:highlight w:val="none"/>
        </w:rPr>
        <w:t>日，每天上午00:00:00至12:00:00，下午12:00:00至23:59:59 （北京时间,法定节假日除外）</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途径：全国公共资源交易平台（陕西省·西安市）网站〖首页〉电子交易平台〉陕西政府采购交易系统〉企业端〗</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方式：在线获取</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highlight w:val="none"/>
          <w:lang w:val="en-US" w:eastAsia="zh-CN"/>
        </w:rPr>
      </w:pPr>
      <w:r>
        <w:rPr>
          <w:rFonts w:hint="eastAsia" w:ascii="仿宋" w:hAnsi="仿宋" w:eastAsia="仿宋" w:cs="仿宋"/>
          <w:color w:val="auto"/>
          <w:szCs w:val="24"/>
          <w:highlight w:val="none"/>
        </w:rPr>
        <w:t>售价：0元</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四、提交投标文件截止时间、开标时间和地点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时间：2023年4月7日9时30分00秒（北京时间）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提交投标文件地点：全国公共资源交易平台（陕西省·西安市）网站〖首页〉电子交易平台&lt;陕西政府采购交易系统&gt;企业端〗，在线提交。</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开标地点：全国公共资源交易平台（陕西省·西安市）不见面开标大厅</w:t>
      </w:r>
    </w:p>
    <w:p>
      <w:pPr>
        <w:keepNext w:val="0"/>
        <w:keepLines w:val="0"/>
        <w:pageBreakBefore w:val="0"/>
        <w:kinsoku/>
        <w:wordWrap/>
        <w:overflowPunct/>
        <w:topLinePunct w:val="0"/>
        <w:autoSpaceDE/>
        <w:autoSpaceDN/>
        <w:bidi w:val="0"/>
        <w:adjustRightInd/>
        <w:snapToGrid/>
        <w:spacing w:line="520" w:lineRule="exact"/>
        <w:textAlignment w:val="auto"/>
        <w:rPr>
          <w:rFonts w:hint="eastAsia" w:ascii="仿宋" w:hAnsi="仿宋" w:eastAsia="仿宋" w:cs="仿宋"/>
          <w:b/>
          <w:bCs/>
          <w:color w:val="auto"/>
          <w:highlight w:val="none"/>
          <w:lang w:val="en-US" w:eastAsia="zh-CN"/>
        </w:rPr>
      </w:pPr>
      <w:r>
        <w:rPr>
          <w:rFonts w:hint="eastAsia" w:ascii="仿宋" w:hAnsi="仿宋" w:eastAsia="仿宋" w:cs="仿宋"/>
          <w:b/>
          <w:bCs/>
          <w:color w:val="auto"/>
          <w:highlight w:val="none"/>
          <w:lang w:val="en-US" w:eastAsia="zh-CN"/>
        </w:rPr>
        <w:t>五、公告期限</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480" w:firstLineChars="2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自本公告发布之日起 5 个工作日。</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 xml:space="preserve">六、其他补充事宜 </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ind w:firstLine="720" w:firstLineChars="300"/>
        <w:textAlignment w:val="auto"/>
        <w:rPr>
          <w:rFonts w:hint="eastAsia" w:ascii="仿宋" w:hAnsi="仿宋" w:eastAsia="仿宋" w:cs="仿宋"/>
          <w:b w:val="0"/>
          <w:bCs w:val="0"/>
          <w:color w:val="auto"/>
          <w:kern w:val="0"/>
          <w:sz w:val="24"/>
          <w:szCs w:val="22"/>
          <w:highlight w:val="none"/>
          <w:lang w:val="en-US" w:eastAsia="zh-CN" w:bidi="ar-SA"/>
        </w:rPr>
      </w:pPr>
      <w:r>
        <w:rPr>
          <w:rFonts w:hint="eastAsia" w:ascii="仿宋" w:hAnsi="仿宋" w:eastAsia="仿宋" w:cs="仿宋"/>
          <w:b w:val="0"/>
          <w:bCs w:val="0"/>
          <w:color w:val="auto"/>
          <w:kern w:val="0"/>
          <w:sz w:val="24"/>
          <w:szCs w:val="22"/>
          <w:highlight w:val="none"/>
          <w:lang w:val="en-US" w:eastAsia="zh-CN" w:bidi="ar-SA"/>
        </w:rPr>
        <w:t>/</w:t>
      </w:r>
    </w:p>
    <w:p>
      <w:pPr>
        <w:pStyle w:val="19"/>
        <w:keepNext w:val="0"/>
        <w:keepLines w:val="0"/>
        <w:pageBreakBefore w:val="0"/>
        <w:widowControl w:val="0"/>
        <w:numPr>
          <w:ilvl w:val="0"/>
          <w:numId w:val="0"/>
        </w:numPr>
        <w:shd w:val="clear" w:color="auto" w:fill="FFFFFF"/>
        <w:kinsoku/>
        <w:wordWrap/>
        <w:overflowPunct/>
        <w:topLinePunct w:val="0"/>
        <w:autoSpaceDE/>
        <w:autoSpaceDN/>
        <w:bidi w:val="0"/>
        <w:adjustRightInd/>
        <w:snapToGrid/>
        <w:spacing w:before="0" w:beforeAutospacing="0" w:after="0" w:afterAutospacing="0" w:line="520" w:lineRule="exact"/>
        <w:textAlignment w:val="auto"/>
        <w:rPr>
          <w:rFonts w:hint="eastAsia" w:ascii="仿宋" w:hAnsi="仿宋" w:eastAsia="仿宋" w:cs="仿宋"/>
          <w:b/>
          <w:bCs/>
          <w:color w:val="auto"/>
          <w:kern w:val="0"/>
          <w:sz w:val="24"/>
          <w:szCs w:val="22"/>
          <w:highlight w:val="none"/>
          <w:lang w:val="en-US" w:eastAsia="zh-CN" w:bidi="ar-SA"/>
        </w:rPr>
      </w:pPr>
      <w:r>
        <w:rPr>
          <w:rFonts w:hint="eastAsia" w:ascii="仿宋" w:hAnsi="仿宋" w:eastAsia="仿宋" w:cs="仿宋"/>
          <w:b/>
          <w:bCs/>
          <w:color w:val="auto"/>
          <w:kern w:val="0"/>
          <w:sz w:val="24"/>
          <w:szCs w:val="22"/>
          <w:highlight w:val="none"/>
          <w:lang w:val="en-US" w:eastAsia="zh-CN" w:bidi="ar-SA"/>
        </w:rPr>
        <w:t>七、对本次采购提出询问，请按以下方式联系。</w:t>
      </w:r>
    </w:p>
    <w:p>
      <w:pPr>
        <w:pStyle w:val="36"/>
        <w:keepNext w:val="0"/>
        <w:keepLines w:val="0"/>
        <w:pageBreakBefore w:val="0"/>
        <w:kinsoku/>
        <w:wordWrap/>
        <w:overflowPunct/>
        <w:topLinePunct w:val="0"/>
        <w:autoSpaceDE/>
        <w:autoSpaceDN/>
        <w:bidi w:val="0"/>
        <w:adjustRightInd/>
        <w:snapToGrid/>
        <w:spacing w:line="520" w:lineRule="exact"/>
        <w:ind w:firstLine="482"/>
        <w:textAlignment w:val="auto"/>
        <w:rPr>
          <w:rFonts w:hint="eastAsia" w:ascii="仿宋" w:hAnsi="仿宋" w:eastAsia="仿宋" w:cs="仿宋"/>
          <w:color w:val="auto"/>
          <w:sz w:val="24"/>
          <w:szCs w:val="24"/>
          <w:highlight w:val="none"/>
          <w:u w:val="none" w:color="auto"/>
          <w:lang w:eastAsia="zh-CN"/>
        </w:rPr>
      </w:pPr>
      <w:r>
        <w:rPr>
          <w:rFonts w:hint="eastAsia" w:ascii="仿宋" w:hAnsi="仿宋" w:eastAsia="仿宋" w:cs="仿宋"/>
          <w:b w:val="0"/>
          <w:bCs w:val="0"/>
          <w:color w:val="auto"/>
          <w:sz w:val="24"/>
          <w:szCs w:val="24"/>
          <w:highlight w:val="none"/>
        </w:rPr>
        <w:t>1、采购人</w:t>
      </w:r>
      <w:r>
        <w:rPr>
          <w:rFonts w:hint="eastAsia" w:ascii="仿宋" w:hAnsi="仿宋" w:eastAsia="仿宋" w:cs="仿宋"/>
          <w:b w:val="0"/>
          <w:bCs w:val="0"/>
          <w:color w:val="auto"/>
          <w:sz w:val="24"/>
          <w:szCs w:val="24"/>
          <w:highlight w:val="none"/>
          <w:lang w:eastAsia="zh-CN"/>
        </w:rPr>
        <w:t>信息</w:t>
      </w:r>
      <w:r>
        <w:rPr>
          <w:rFonts w:hint="eastAsia" w:ascii="仿宋" w:hAnsi="仿宋" w:eastAsia="仿宋" w:cs="仿宋"/>
          <w:b w:val="0"/>
          <w:bCs w:val="0"/>
          <w:color w:val="auto"/>
          <w:sz w:val="24"/>
          <w:szCs w:val="24"/>
          <w:highlight w:val="none"/>
        </w:rPr>
        <w:t>：</w:t>
      </w:r>
      <w:r>
        <w:rPr>
          <w:rFonts w:hint="eastAsia" w:ascii="仿宋" w:hAnsi="仿宋" w:eastAsia="仿宋" w:cs="仿宋"/>
          <w:b w:val="0"/>
          <w:bCs w:val="0"/>
          <w:color w:val="auto"/>
          <w:sz w:val="24"/>
          <w:szCs w:val="24"/>
          <w:highlight w:val="none"/>
          <w:lang w:val="en-US" w:eastAsia="zh-CN"/>
        </w:rPr>
        <w:t>西安市</w:t>
      </w:r>
      <w:r>
        <w:rPr>
          <w:rFonts w:hint="eastAsia" w:ascii="仿宋" w:hAnsi="仿宋" w:eastAsia="仿宋" w:cs="仿宋"/>
          <w:color w:val="auto"/>
          <w:sz w:val="24"/>
          <w:szCs w:val="24"/>
          <w:highlight w:val="none"/>
          <w:u w:val="none" w:color="auto"/>
          <w:lang w:eastAsia="zh-CN"/>
        </w:rPr>
        <w:t>高陵区水务局</w:t>
      </w:r>
    </w:p>
    <w:p>
      <w:pPr>
        <w:pStyle w:val="36"/>
        <w:keepNext w:val="0"/>
        <w:keepLines w:val="0"/>
        <w:pageBreakBefore w:val="0"/>
        <w:kinsoku/>
        <w:wordWrap/>
        <w:overflowPunct/>
        <w:topLinePunct w:val="0"/>
        <w:autoSpaceDE/>
        <w:autoSpaceDN/>
        <w:bidi w:val="0"/>
        <w:adjustRightInd/>
        <w:snapToGrid/>
        <w:spacing w:line="520" w:lineRule="exact"/>
        <w:ind w:firstLine="960" w:firstLineChars="400"/>
        <w:textAlignment w:val="auto"/>
        <w:rPr>
          <w:rFonts w:hint="eastAsia" w:ascii="仿宋" w:hAnsi="仿宋" w:eastAsia="仿宋" w:cs="仿宋"/>
          <w:color w:val="auto"/>
          <w:sz w:val="24"/>
          <w:szCs w:val="24"/>
          <w:highlight w:val="none"/>
          <w:u w:val="none" w:color="auto"/>
          <w:lang w:eastAsia="zh-CN"/>
        </w:rPr>
      </w:pPr>
      <w:r>
        <w:rPr>
          <w:rFonts w:hint="eastAsia" w:ascii="仿宋" w:hAnsi="仿宋" w:eastAsia="仿宋" w:cs="仿宋"/>
          <w:color w:val="auto"/>
          <w:kern w:val="2"/>
          <w:sz w:val="24"/>
          <w:szCs w:val="24"/>
          <w:highlight w:val="none"/>
          <w:u w:val="none" w:color="auto"/>
        </w:rPr>
        <w:t xml:space="preserve">地  </w:t>
      </w:r>
      <w:r>
        <w:rPr>
          <w:rFonts w:hint="eastAsia" w:ascii="仿宋" w:hAnsi="仿宋" w:eastAsia="仿宋" w:cs="仿宋"/>
          <w:color w:val="auto"/>
          <w:kern w:val="2"/>
          <w:sz w:val="24"/>
          <w:szCs w:val="24"/>
          <w:highlight w:val="none"/>
          <w:u w:val="none" w:color="auto"/>
          <w:lang w:val="en-US" w:eastAsia="zh-CN"/>
        </w:rPr>
        <w:t xml:space="preserve">   </w:t>
      </w:r>
      <w:r>
        <w:rPr>
          <w:rFonts w:hint="eastAsia" w:ascii="仿宋" w:hAnsi="仿宋" w:eastAsia="仿宋" w:cs="仿宋"/>
          <w:color w:val="auto"/>
          <w:kern w:val="2"/>
          <w:sz w:val="24"/>
          <w:szCs w:val="24"/>
          <w:highlight w:val="none"/>
          <w:u w:val="none" w:color="auto"/>
        </w:rPr>
        <w:t>址</w:t>
      </w:r>
      <w:r>
        <w:rPr>
          <w:rFonts w:hint="eastAsia" w:ascii="仿宋" w:hAnsi="仿宋" w:eastAsia="仿宋" w:cs="仿宋"/>
          <w:b w:val="0"/>
          <w:bCs w:val="0"/>
          <w:color w:val="auto"/>
          <w:sz w:val="24"/>
          <w:szCs w:val="24"/>
          <w:highlight w:val="none"/>
        </w:rPr>
        <w:t xml:space="preserve">: </w:t>
      </w:r>
      <w:r>
        <w:rPr>
          <w:rFonts w:hint="eastAsia" w:ascii="仿宋" w:hAnsi="仿宋" w:eastAsia="仿宋" w:cs="仿宋"/>
          <w:b w:val="0"/>
          <w:bCs w:val="0"/>
          <w:color w:val="auto"/>
          <w:sz w:val="24"/>
          <w:szCs w:val="24"/>
          <w:highlight w:val="none"/>
          <w:lang w:val="en-US" w:eastAsia="zh-CN"/>
        </w:rPr>
        <w:t>西安市高陵区鹿祥路</w:t>
      </w:r>
    </w:p>
    <w:p>
      <w:pPr>
        <w:pStyle w:val="36"/>
        <w:keepNext w:val="0"/>
        <w:keepLines w:val="0"/>
        <w:pageBreakBefore w:val="0"/>
        <w:kinsoku/>
        <w:wordWrap/>
        <w:overflowPunct/>
        <w:topLinePunct w:val="0"/>
        <w:autoSpaceDE/>
        <w:autoSpaceDN/>
        <w:bidi w:val="0"/>
        <w:adjustRightInd/>
        <w:snapToGrid/>
        <w:spacing w:line="520" w:lineRule="exact"/>
        <w:ind w:right="0" w:rightChars="0" w:firstLine="960" w:firstLineChars="400"/>
        <w:jc w:val="both"/>
        <w:textAlignment w:val="auto"/>
        <w:outlineLvl w:val="9"/>
        <w:rPr>
          <w:rFonts w:hint="eastAsia" w:ascii="仿宋" w:hAnsi="仿宋" w:eastAsia="仿宋" w:cs="仿宋"/>
          <w:color w:val="auto"/>
          <w:sz w:val="24"/>
          <w:szCs w:val="24"/>
          <w:highlight w:val="none"/>
          <w:u w:color="FF0000"/>
          <w:lang w:eastAsia="zh-CN"/>
        </w:rPr>
      </w:pPr>
      <w:r>
        <w:rPr>
          <w:rFonts w:hint="eastAsia" w:ascii="仿宋" w:hAnsi="仿宋" w:eastAsia="仿宋" w:cs="仿宋"/>
          <w:color w:val="auto"/>
          <w:sz w:val="24"/>
          <w:szCs w:val="24"/>
          <w:highlight w:val="none"/>
          <w:lang w:eastAsia="zh-CN"/>
        </w:rPr>
        <w:t>联系人：高主任</w:t>
      </w:r>
    </w:p>
    <w:p>
      <w:pPr>
        <w:pStyle w:val="36"/>
        <w:keepNext w:val="0"/>
        <w:keepLines w:val="0"/>
        <w:pageBreakBefore w:val="0"/>
        <w:kinsoku/>
        <w:wordWrap/>
        <w:overflowPunct/>
        <w:topLinePunct w:val="0"/>
        <w:autoSpaceDE/>
        <w:autoSpaceDN/>
        <w:bidi w:val="0"/>
        <w:adjustRightInd/>
        <w:snapToGrid/>
        <w:spacing w:line="520" w:lineRule="exact"/>
        <w:ind w:right="0" w:rightChars="0" w:firstLine="960" w:firstLineChars="400"/>
        <w:jc w:val="both"/>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lang w:val="en-US" w:eastAsia="zh-CN"/>
        </w:rPr>
        <w:t>029-86912163</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8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bookmarkStart w:id="5" w:name="_Toc458617730"/>
      <w:bookmarkStart w:id="6" w:name="_Toc458617453"/>
      <w:r>
        <w:rPr>
          <w:rFonts w:hint="eastAsia" w:ascii="仿宋" w:hAnsi="仿宋" w:eastAsia="仿宋" w:cs="仿宋"/>
          <w:i w:val="0"/>
          <w:iCs w:val="0"/>
          <w:caps w:val="0"/>
          <w:color w:val="auto"/>
          <w:spacing w:val="0"/>
          <w:kern w:val="0"/>
          <w:sz w:val="24"/>
          <w:szCs w:val="24"/>
          <w:highlight w:val="none"/>
          <w:shd w:val="clear" w:fill="FFFFFF"/>
          <w:lang w:val="en-US" w:eastAsia="zh-CN" w:bidi="ar"/>
        </w:rPr>
        <w:t>2.采购代理机构信息</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名      称：卓安项目管理有限公司</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地      址：西安市朱雀大街南段1号汇成天玺C座18层</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联系方式：029-87592322</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8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3.项目联系方式</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项目联系人：丁工</w:t>
      </w:r>
    </w:p>
    <w:p>
      <w:pPr>
        <w:pStyle w:val="1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960" w:firstLineChars="400"/>
        <w:jc w:val="left"/>
        <w:textAlignment w:val="auto"/>
        <w:rPr>
          <w:rFonts w:hint="eastAsia" w:ascii="仿宋" w:hAnsi="仿宋" w:eastAsia="仿宋" w:cs="仿宋"/>
          <w:i w:val="0"/>
          <w:iCs w:val="0"/>
          <w:caps w:val="0"/>
          <w:color w:val="auto"/>
          <w:spacing w:val="0"/>
          <w:kern w:val="0"/>
          <w:sz w:val="24"/>
          <w:szCs w:val="24"/>
          <w:highlight w:val="none"/>
          <w:shd w:val="clear" w:fill="FFFFFF"/>
          <w:lang w:val="en-US" w:eastAsia="zh-CN" w:bidi="ar"/>
        </w:rPr>
      </w:pPr>
      <w:r>
        <w:rPr>
          <w:rFonts w:hint="eastAsia" w:ascii="仿宋" w:hAnsi="仿宋" w:eastAsia="仿宋" w:cs="仿宋"/>
          <w:i w:val="0"/>
          <w:iCs w:val="0"/>
          <w:caps w:val="0"/>
          <w:color w:val="auto"/>
          <w:spacing w:val="0"/>
          <w:kern w:val="0"/>
          <w:sz w:val="24"/>
          <w:szCs w:val="24"/>
          <w:highlight w:val="none"/>
          <w:shd w:val="clear" w:fill="FFFFFF"/>
          <w:lang w:val="en-US" w:eastAsia="zh-CN" w:bidi="ar"/>
        </w:rPr>
        <w:t>电话：029-87592322</w:t>
      </w:r>
    </w:p>
    <w:p>
      <w:pPr>
        <w:rPr>
          <w:rFonts w:hint="eastAsia" w:ascii="仿宋" w:hAnsi="仿宋" w:eastAsia="仿宋" w:cs="仿宋"/>
          <w:color w:val="auto"/>
          <w:szCs w:val="24"/>
          <w:highlight w:val="none"/>
        </w:rPr>
      </w:pPr>
      <w:r>
        <w:rPr>
          <w:rFonts w:hint="eastAsia" w:ascii="仿宋" w:hAnsi="仿宋" w:eastAsia="仿宋" w:cs="仿宋"/>
          <w:b/>
          <w:color w:val="auto"/>
          <w:highlight w:val="none"/>
        </w:rPr>
        <w:pict>
          <v:shape id="Text Box 2" o:spid="_x0000_s1026" o:spt="202" type="#_x0000_t202" style="position:absolute;left:0pt;margin-left:-31.2pt;margin-top:6.95pt;height:58.1pt;width:489.25pt;mso-wrap-distance-bottom:0pt;mso-wrap-distance-left:9pt;mso-wrap-distance-right:9pt;mso-wrap-distance-top:0pt;z-index:251660288;mso-width-relative:page;mso-height-relative:page;" fillcolor="#FFFFFF" filled="t" stroked="t" coordsize="21600,21600" o:gfxdata="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niQsT9kAAAAKAQAADwAAAAAAAAABACAAAAAiAAAAZHJzL2Rvd25yZXYueG1sUEsB&#10;AhQAFAAAAAgAh07iQJdzfR30AQAADwQAAA4AAAAAAAAAAQAgAAAAKAEAAGRycy9lMm9Eb2MueG1s&#10;UEsFBgAAAAAGAAYAWQEAAI4FAAAAAA==&#10;">
            <v:path/>
            <v:fill on="t" color2="#FFFFFF" focussize="0,0"/>
            <v:stroke color="#000000" joinstyle="miter"/>
            <v:imagedata o:title=""/>
            <o:lock v:ext="edit" aspectratio="f"/>
            <v:textbox>
              <w:txbxContent>
                <w:p>
                  <w:pPr>
                    <w:spacing w:line="560" w:lineRule="exact"/>
                    <w:rPr>
                      <w:rFonts w:hint="eastAsia" w:ascii="仿宋" w:hAnsi="仿宋" w:eastAsia="仿宋" w:cs="仿宋"/>
                      <w:b/>
                      <w:sz w:val="28"/>
                      <w:szCs w:val="28"/>
                    </w:rPr>
                  </w:pPr>
                  <w:r>
                    <w:rPr>
                      <w:rFonts w:hint="eastAsia" w:ascii="仿宋" w:hAnsi="仿宋" w:eastAsia="仿宋" w:cs="仿宋"/>
                      <w:b/>
                      <w:sz w:val="28"/>
                      <w:szCs w:val="28"/>
                    </w:rPr>
                    <w:t>温馨提示：购买招标文件后，请仔细阅读，特别注意粗体及划线部分，如有疑问请来电咨询。</w:t>
                  </w:r>
                </w:p>
              </w:txbxContent>
            </v:textbox>
            <w10:wrap type="square"/>
          </v:shape>
        </w:pict>
      </w:r>
      <w:r>
        <w:rPr>
          <w:rFonts w:hint="eastAsia" w:ascii="仿宋" w:hAnsi="仿宋" w:eastAsia="仿宋" w:cs="仿宋"/>
          <w:color w:val="auto"/>
          <w:szCs w:val="24"/>
          <w:highlight w:val="none"/>
        </w:rPr>
        <w:br w:type="page"/>
      </w:r>
    </w:p>
    <w:p>
      <w:pPr>
        <w:pStyle w:val="3"/>
        <w:spacing w:line="560" w:lineRule="exact"/>
        <w:jc w:val="center"/>
        <w:rPr>
          <w:rFonts w:hint="eastAsia" w:ascii="仿宋" w:hAnsi="仿宋" w:eastAsia="仿宋" w:cs="仿宋"/>
          <w:color w:val="auto"/>
          <w:highlight w:val="none"/>
        </w:rPr>
      </w:pPr>
      <w:bookmarkStart w:id="7" w:name="_Toc25105"/>
      <w:r>
        <w:rPr>
          <w:rFonts w:hint="eastAsia" w:ascii="仿宋" w:hAnsi="仿宋" w:eastAsia="仿宋" w:cs="仿宋"/>
          <w:color w:val="auto"/>
          <w:highlight w:val="none"/>
        </w:rPr>
        <w:t>第二章  投标人须知</w:t>
      </w:r>
      <w:bookmarkEnd w:id="5"/>
      <w:bookmarkEnd w:id="6"/>
      <w:bookmarkEnd w:id="7"/>
    </w:p>
    <w:p>
      <w:pPr>
        <w:pStyle w:val="4"/>
        <w:spacing w:line="560" w:lineRule="exact"/>
        <w:jc w:val="center"/>
        <w:rPr>
          <w:rFonts w:hint="eastAsia" w:ascii="仿宋" w:hAnsi="仿宋" w:eastAsia="仿宋" w:cs="仿宋"/>
          <w:color w:val="auto"/>
          <w:sz w:val="15"/>
          <w:szCs w:val="15"/>
          <w:highlight w:val="none"/>
        </w:rPr>
      </w:pPr>
      <w:bookmarkStart w:id="8" w:name="_Toc458617454"/>
      <w:bookmarkStart w:id="9" w:name="_Toc458617731"/>
      <w:bookmarkStart w:id="10" w:name="_Toc3843"/>
      <w:r>
        <w:rPr>
          <w:rFonts w:hint="eastAsia" w:ascii="仿宋" w:hAnsi="仿宋" w:eastAsia="仿宋" w:cs="仿宋"/>
          <w:color w:val="auto"/>
          <w:sz w:val="28"/>
          <w:szCs w:val="28"/>
          <w:highlight w:val="none"/>
        </w:rPr>
        <w:t>一、投标人须知前附表</w:t>
      </w:r>
      <w:bookmarkEnd w:id="8"/>
      <w:bookmarkEnd w:id="9"/>
      <w:bookmarkEnd w:id="10"/>
    </w:p>
    <w:tbl>
      <w:tblPr>
        <w:tblStyle w:val="22"/>
        <w:tblW w:w="9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388"/>
        <w:gridCol w:w="63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条款名称</w:t>
            </w:r>
          </w:p>
        </w:tc>
        <w:tc>
          <w:tcPr>
            <w:tcW w:w="635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说明和要求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采购人</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u w:val="none" w:color="auto"/>
                <w:lang w:eastAsia="zh-CN"/>
              </w:rPr>
            </w:pPr>
            <w:r>
              <w:rPr>
                <w:rFonts w:hint="eastAsia" w:ascii="仿宋" w:hAnsi="仿宋" w:eastAsia="仿宋" w:cs="仿宋"/>
                <w:color w:val="auto"/>
                <w:szCs w:val="24"/>
                <w:highlight w:val="none"/>
                <w:u w:val="none" w:color="auto"/>
                <w:lang w:val="en-US" w:eastAsia="zh-CN"/>
              </w:rPr>
              <w:t>名    称：西安市</w:t>
            </w:r>
            <w:r>
              <w:rPr>
                <w:rFonts w:hint="eastAsia" w:ascii="仿宋" w:hAnsi="仿宋" w:eastAsia="仿宋" w:cs="仿宋"/>
                <w:color w:val="auto"/>
                <w:szCs w:val="24"/>
                <w:highlight w:val="none"/>
                <w:u w:val="none" w:color="auto"/>
                <w:lang w:eastAsia="zh-CN"/>
              </w:rPr>
              <w:t>高陵区水务局</w:t>
            </w:r>
          </w:p>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default"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地    址：西安市高陵区鹿祥路</w:t>
            </w:r>
          </w:p>
          <w:p>
            <w:pPr>
              <w:keepNext w:val="0"/>
              <w:keepLines w:val="0"/>
              <w:pageBreakBefore w:val="0"/>
              <w:widowControl w:val="0"/>
              <w:tabs>
                <w:tab w:val="center" w:pos="2989"/>
              </w:tabs>
              <w:kinsoku/>
              <w:wordWrap/>
              <w:overflowPunct/>
              <w:topLinePunct w:val="0"/>
              <w:autoSpaceDE/>
              <w:autoSpaceDN/>
              <w:bidi w:val="0"/>
              <w:adjustRightInd/>
              <w:snapToGrid/>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u w:val="none" w:color="auto"/>
                <w:lang w:val="en-US" w:eastAsia="zh-CN"/>
              </w:rPr>
              <w:t>联系方式：029-86912163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名  称：</w:t>
            </w:r>
            <w:r>
              <w:rPr>
                <w:rFonts w:hint="eastAsia" w:ascii="仿宋" w:hAnsi="仿宋" w:eastAsia="仿宋" w:cs="仿宋"/>
                <w:color w:val="auto"/>
                <w:szCs w:val="24"/>
                <w:highlight w:val="none"/>
                <w:lang w:eastAsia="zh-CN"/>
              </w:rPr>
              <w:t>卓安项目管理有限公司</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地  址：西安市朱雀大街南段1号汇成天玺C座18层</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u w:val="wavyHeavy" w:color="FF0000"/>
                <w:lang w:val="en-US" w:eastAsia="zh-CN"/>
              </w:rPr>
            </w:pPr>
            <w:r>
              <w:rPr>
                <w:rFonts w:hint="eastAsia" w:ascii="仿宋" w:hAnsi="仿宋" w:eastAsia="仿宋" w:cs="仿宋"/>
                <w:color w:val="auto"/>
                <w:szCs w:val="24"/>
                <w:highlight w:val="none"/>
              </w:rPr>
              <w:t>联系人：</w:t>
            </w:r>
            <w:r>
              <w:rPr>
                <w:rFonts w:hint="eastAsia" w:ascii="仿宋" w:hAnsi="仿宋" w:eastAsia="仿宋" w:cs="仿宋"/>
                <w:color w:val="auto"/>
                <w:szCs w:val="24"/>
                <w:highlight w:val="none"/>
                <w:u w:val="none" w:color="auto"/>
                <w:lang w:val="en-US" w:eastAsia="zh-CN"/>
              </w:rPr>
              <w:t>丁工</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联系方式：029-8759232</w:t>
            </w:r>
            <w:r>
              <w:rPr>
                <w:rFonts w:hint="eastAsia" w:ascii="仿宋" w:hAnsi="仿宋" w:eastAsia="仿宋" w:cs="仿宋"/>
                <w:color w:val="auto"/>
                <w:szCs w:val="24"/>
                <w:highlight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监督管理机构</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项目名称</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eastAsia="zh-CN"/>
              </w:rPr>
              <w:t>渭河高陵段已建成工程维修养护项目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项目编号</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eastAsia="zh-CN"/>
              </w:rPr>
              <w:t>ZAGL-2023-008</w:t>
            </w:r>
            <w:r>
              <w:rPr>
                <w:rFonts w:hint="eastAsia" w:ascii="仿宋" w:hAnsi="仿宋" w:eastAsia="仿宋" w:cs="仿宋"/>
                <w:color w:val="auto"/>
                <w:szCs w:val="24"/>
                <w:highlight w:val="none"/>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资金性质</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财政划拨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项目预算</w:t>
            </w:r>
          </w:p>
        </w:tc>
        <w:tc>
          <w:tcPr>
            <w:tcW w:w="6359" w:type="dxa"/>
          </w:tcPr>
          <w:p>
            <w:pPr>
              <w:keepNext w:val="0"/>
              <w:keepLines w:val="0"/>
              <w:pageBreakBefore w:val="0"/>
              <w:kinsoku/>
              <w:overflowPunct/>
              <w:autoSpaceDE/>
              <w:autoSpaceDN/>
              <w:bidi w:val="0"/>
              <w:spacing w:line="640" w:lineRule="exact"/>
              <w:textAlignment w:val="auto"/>
              <w:rPr>
                <w:rFonts w:hint="default" w:ascii="仿宋" w:hAnsi="仿宋" w:eastAsia="仿宋" w:cs="仿宋"/>
                <w:color w:val="auto"/>
                <w:szCs w:val="24"/>
                <w:highlight w:val="none"/>
                <w:lang w:val="en-US" w:eastAsia="zh-CN"/>
              </w:rPr>
            </w:pPr>
            <w:r>
              <w:rPr>
                <w:rFonts w:hint="default" w:ascii="仿宋" w:hAnsi="仿宋" w:eastAsia="仿宋" w:cs="仿宋"/>
                <w:color w:val="auto"/>
                <w:szCs w:val="24"/>
                <w:highlight w:val="none"/>
                <w:lang w:val="en-US" w:eastAsia="zh-CN"/>
              </w:rPr>
              <w:t>采购预算340万元/年；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项目用途</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Ⅲ标段：渭河左岸咸阳交界处至泾河入渭口大桥北桥头，长度：11.61km；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9</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采购内容和要求</w:t>
            </w:r>
          </w:p>
        </w:tc>
        <w:tc>
          <w:tcPr>
            <w:tcW w:w="6359" w:type="dxa"/>
          </w:tcPr>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Ⅲ标段：渭河左岸咸阳交界处至泾河入渭口大桥北桥头，长度：11.61km；</w:t>
            </w:r>
          </w:p>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（具体要求详见招标文件第三章采购内容及技术要求）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10</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响应</w:t>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HYPERLINK "http://baike.baidu.com/view/8707.htm" \t "_blank" </w:instrText>
            </w:r>
            <w:r>
              <w:rPr>
                <w:rFonts w:hint="eastAsia" w:ascii="仿宋" w:hAnsi="仿宋" w:eastAsia="仿宋" w:cs="仿宋"/>
                <w:color w:val="auto"/>
                <w:highlight w:val="none"/>
              </w:rPr>
              <w:fldChar w:fldCharType="separate"/>
            </w:r>
            <w:r>
              <w:rPr>
                <w:rFonts w:hint="eastAsia" w:ascii="仿宋" w:hAnsi="仿宋" w:eastAsia="仿宋" w:cs="仿宋"/>
                <w:color w:val="auto"/>
                <w:szCs w:val="24"/>
                <w:highlight w:val="none"/>
              </w:rPr>
              <w:t>招标</w:t>
            </w:r>
            <w:r>
              <w:rPr>
                <w:rFonts w:hint="eastAsia" w:ascii="仿宋" w:hAnsi="仿宋" w:eastAsia="仿宋" w:cs="仿宋"/>
                <w:color w:val="auto"/>
                <w:szCs w:val="24"/>
                <w:highlight w:val="none"/>
              </w:rPr>
              <w:fldChar w:fldCharType="end"/>
            </w:r>
            <w:r>
              <w:rPr>
                <w:rFonts w:hint="eastAsia" w:ascii="仿宋" w:hAnsi="仿宋" w:eastAsia="仿宋" w:cs="仿宋"/>
                <w:color w:val="auto"/>
                <w:szCs w:val="24"/>
                <w:highlight w:val="none"/>
              </w:rPr>
              <w:t>并且符合招标文件规定资格条件和参加投标竞争的法人或其他组织。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w:t>
            </w:r>
          </w:p>
        </w:tc>
        <w:tc>
          <w:tcPr>
            <w:tcW w:w="2388" w:type="dxa"/>
            <w:vAlign w:val="center"/>
          </w:tcPr>
          <w:p>
            <w:pPr>
              <w:keepNext w:val="0"/>
              <w:keepLines w:val="0"/>
              <w:pageBreakBefore w:val="0"/>
              <w:tabs>
                <w:tab w:val="center" w:pos="1228"/>
                <w:tab w:val="right" w:pos="2336"/>
              </w:tabs>
              <w:kinsoku/>
              <w:overflowPunct/>
              <w:autoSpaceDE/>
              <w:autoSpaceDN/>
              <w:bidi w:val="0"/>
              <w:spacing w:line="640" w:lineRule="exact"/>
              <w:jc w:val="left"/>
              <w:textAlignment w:val="auto"/>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ab/>
            </w:r>
            <w:r>
              <w:rPr>
                <w:rFonts w:hint="eastAsia" w:ascii="仿宋" w:hAnsi="仿宋" w:eastAsia="仿宋" w:cs="仿宋"/>
                <w:color w:val="auto"/>
                <w:szCs w:val="24"/>
                <w:highlight w:val="none"/>
              </w:rPr>
              <w:t>投标人资格要求</w:t>
            </w:r>
            <w:r>
              <w:rPr>
                <w:rFonts w:hint="eastAsia" w:ascii="仿宋" w:hAnsi="仿宋" w:eastAsia="仿宋" w:cs="仿宋"/>
                <w:color w:val="auto"/>
                <w:szCs w:val="24"/>
                <w:highlight w:val="none"/>
                <w:lang w:eastAsia="zh-CN"/>
              </w:rPr>
              <w:tab/>
            </w:r>
          </w:p>
          <w:p>
            <w:pPr>
              <w:pStyle w:val="12"/>
              <w:keepNext w:val="0"/>
              <w:keepLines w:val="0"/>
              <w:pageBreakBefore w:val="0"/>
              <w:kinsoku/>
              <w:overflowPunct/>
              <w:autoSpaceDE/>
              <w:autoSpaceDN/>
              <w:bidi w:val="0"/>
              <w:spacing w:line="640" w:lineRule="exact"/>
              <w:ind w:firstLine="360" w:firstLineChars="200"/>
              <w:textAlignment w:val="auto"/>
              <w:rPr>
                <w:rFonts w:hint="eastAsia" w:ascii="仿宋" w:hAnsi="仿宋" w:eastAsia="仿宋" w:cs="仿宋"/>
                <w:color w:val="auto"/>
                <w:highlight w:val="none"/>
                <w:lang w:eastAsia="zh-CN"/>
              </w:rPr>
            </w:pPr>
          </w:p>
        </w:tc>
        <w:tc>
          <w:tcPr>
            <w:tcW w:w="6359" w:type="dxa"/>
          </w:tcPr>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6、本项目不接受联合体投标。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服务期限及服务</w:t>
            </w:r>
            <w:r>
              <w:rPr>
                <w:rFonts w:hint="eastAsia" w:ascii="仿宋" w:hAnsi="仿宋" w:eastAsia="仿宋" w:cs="仿宋"/>
                <w:color w:val="auto"/>
                <w:szCs w:val="24"/>
                <w:highlight w:val="none"/>
              </w:rPr>
              <w:t>地点</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服务期限</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自2023年1月1日至2025年12月31日（合同一年一签，第二年、第三年以第一年为准，如遇变更双方按照政府相关规定解决）</w:t>
            </w:r>
            <w:r>
              <w:rPr>
                <w:rFonts w:hint="eastAsia" w:ascii="仿宋" w:hAnsi="仿宋" w:eastAsia="仿宋" w:cs="仿宋"/>
                <w:color w:val="auto"/>
                <w:szCs w:val="24"/>
                <w:highlight w:val="none"/>
              </w:rPr>
              <w:t>。</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地点：</w:t>
            </w: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高陵区水务局</w:t>
            </w:r>
            <w:r>
              <w:rPr>
                <w:rFonts w:hint="eastAsia" w:ascii="仿宋" w:hAnsi="仿宋" w:eastAsia="仿宋" w:cs="仿宋"/>
                <w:color w:val="auto"/>
                <w:szCs w:val="24"/>
                <w:highlight w:val="none"/>
              </w:rPr>
              <w:t>指定地点。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招标文件发售</w:t>
            </w:r>
          </w:p>
          <w:p>
            <w:pPr>
              <w:pStyle w:val="12"/>
              <w:keepNext w:val="0"/>
              <w:keepLines w:val="0"/>
              <w:pageBreakBefore w:val="0"/>
              <w:kinsoku/>
              <w:overflowPunct/>
              <w:autoSpaceDE/>
              <w:autoSpaceDN/>
              <w:bidi w:val="0"/>
              <w:spacing w:line="640" w:lineRule="exact"/>
              <w:ind w:firstLine="360" w:firstLineChars="200"/>
              <w:textAlignment w:val="auto"/>
              <w:rPr>
                <w:rFonts w:hint="eastAsia" w:ascii="仿宋" w:hAnsi="仿宋" w:eastAsia="仿宋" w:cs="仿宋"/>
                <w:color w:val="auto"/>
                <w:highlight w:val="none"/>
              </w:rPr>
            </w:pPr>
          </w:p>
        </w:tc>
        <w:tc>
          <w:tcPr>
            <w:tcW w:w="6359" w:type="dxa"/>
          </w:tcPr>
          <w:p>
            <w:pPr>
              <w:pStyle w:val="37"/>
              <w:keepNext w:val="0"/>
              <w:keepLines w:val="0"/>
              <w:pageBreakBefore w:val="0"/>
              <w:kinsoku/>
              <w:overflowPunct/>
              <w:autoSpaceDE/>
              <w:autoSpaceDN/>
              <w:bidi w:val="0"/>
              <w:spacing w:line="64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发售时间：202</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14</w:t>
            </w:r>
            <w:r>
              <w:rPr>
                <w:rFonts w:hint="eastAsia" w:ascii="仿宋" w:hAnsi="仿宋" w:eastAsia="仿宋" w:cs="仿宋"/>
                <w:color w:val="auto"/>
                <w:sz w:val="24"/>
                <w:szCs w:val="24"/>
                <w:highlight w:val="none"/>
              </w:rPr>
              <w:t>日至202</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21</w:t>
            </w:r>
            <w:r>
              <w:rPr>
                <w:rFonts w:hint="eastAsia" w:ascii="仿宋" w:hAnsi="仿宋" w:eastAsia="仿宋" w:cs="仿宋"/>
                <w:color w:val="auto"/>
                <w:sz w:val="24"/>
                <w:szCs w:val="24"/>
                <w:highlight w:val="none"/>
              </w:rPr>
              <w:t>日，每天上午00:00:00至12:00:00，下午12:00:00至23:59:59 （北京时间,法定节假日除外）</w:t>
            </w:r>
          </w:p>
          <w:p>
            <w:pPr>
              <w:pStyle w:val="37"/>
              <w:keepNext w:val="0"/>
              <w:keepLines w:val="0"/>
              <w:pageBreakBefore w:val="0"/>
              <w:kinsoku/>
              <w:overflowPunct/>
              <w:autoSpaceDE/>
              <w:autoSpaceDN/>
              <w:bidi w:val="0"/>
              <w:spacing w:line="640" w:lineRule="exact"/>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发售地点：全国公共资源交易平台（陕西省·西安市）网站〖首页〉电子交易平台〉陕西政府采购交易系统〉企业端〗</w:t>
            </w:r>
            <w:r>
              <w:rPr>
                <w:rFonts w:hint="eastAsia" w:ascii="仿宋" w:hAnsi="仿宋" w:eastAsia="仿宋" w:cs="仿宋"/>
                <w:color w:val="auto"/>
                <w:sz w:val="24"/>
                <w:szCs w:val="24"/>
                <w:highlight w:val="no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联合体投标</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15</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现场勘查、标前答疑会</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不组织。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投标人对招标文件提出质疑的时间</w:t>
            </w:r>
          </w:p>
        </w:tc>
        <w:tc>
          <w:tcPr>
            <w:tcW w:w="6359" w:type="dxa"/>
          </w:tcPr>
          <w:p>
            <w:pPr>
              <w:keepNext w:val="0"/>
              <w:keepLines w:val="0"/>
              <w:pageBreakBefore w:val="0"/>
              <w:kinsoku/>
              <w:overflowPunct/>
              <w:autoSpaceDE/>
              <w:autoSpaceDN/>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投标人认为招标文件使自己的权益受到损害的，在收到采购文件之日起七个工作日内以书面形式向采购代理机构提出质疑，逾期提出的无效，因此带来的一切不利后果由投标人自负。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构成招标文件的其他文件</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招标文件的澄清、修改书及有关补充通知为招标文件的有效组成部分。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投标有效期</w:t>
            </w:r>
          </w:p>
        </w:tc>
        <w:tc>
          <w:tcPr>
            <w:tcW w:w="6359" w:type="dxa"/>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19</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汇款账户</w:t>
            </w:r>
          </w:p>
        </w:tc>
        <w:tc>
          <w:tcPr>
            <w:tcW w:w="6359" w:type="dxa"/>
          </w:tcPr>
          <w:p>
            <w:pPr>
              <w:pStyle w:val="36"/>
              <w:keepNext w:val="0"/>
              <w:keepLines w:val="0"/>
              <w:pageBreakBefore w:val="0"/>
              <w:kinsoku/>
              <w:wordWrap/>
              <w:overflowPunct/>
              <w:topLinePunct w:val="0"/>
              <w:autoSpaceDE/>
              <w:autoSpaceDN/>
              <w:bidi w:val="0"/>
              <w:adjustRightInd/>
              <w:snapToGrid/>
              <w:spacing w:line="640" w:lineRule="exact"/>
              <w:ind w:firstLine="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中国</w:t>
            </w:r>
            <w:r>
              <w:rPr>
                <w:rFonts w:hint="eastAsia" w:ascii="仿宋" w:hAnsi="仿宋" w:eastAsia="仿宋" w:cs="仿宋"/>
                <w:color w:val="auto"/>
                <w:sz w:val="24"/>
                <w:szCs w:val="24"/>
                <w:highlight w:val="none"/>
                <w:lang w:eastAsia="zh-CN"/>
              </w:rPr>
              <w:t>建设</w:t>
            </w:r>
            <w:r>
              <w:rPr>
                <w:rFonts w:hint="eastAsia" w:ascii="仿宋" w:hAnsi="仿宋" w:eastAsia="仿宋" w:cs="仿宋"/>
                <w:color w:val="auto"/>
                <w:sz w:val="24"/>
                <w:szCs w:val="24"/>
                <w:highlight w:val="none"/>
              </w:rPr>
              <w:t>银行：</w:t>
            </w:r>
            <w:r>
              <w:rPr>
                <w:rFonts w:hint="eastAsia" w:ascii="仿宋" w:hAnsi="仿宋" w:eastAsia="仿宋" w:cs="仿宋"/>
                <w:b/>
                <w:bCs/>
                <w:color w:val="auto"/>
                <w:sz w:val="24"/>
                <w:szCs w:val="24"/>
                <w:highlight w:val="none"/>
              </w:rPr>
              <w:t>招标服务费</w:t>
            </w:r>
            <w:r>
              <w:rPr>
                <w:rFonts w:hint="eastAsia" w:ascii="仿宋" w:hAnsi="仿宋" w:eastAsia="仿宋" w:cs="仿宋"/>
                <w:color w:val="auto"/>
                <w:sz w:val="24"/>
                <w:szCs w:val="24"/>
                <w:highlight w:val="none"/>
                <w:lang w:eastAsia="zh-CN"/>
              </w:rPr>
              <w:t>（交纳账户）</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r>
              <w:rPr>
                <w:rFonts w:hint="eastAsia" w:ascii="仿宋" w:hAnsi="仿宋" w:eastAsia="仿宋" w:cs="仿宋"/>
                <w:color w:val="auto"/>
                <w:sz w:val="24"/>
                <w:szCs w:val="24"/>
                <w:highlight w:val="none"/>
                <w:lang w:eastAsia="zh-CN"/>
              </w:rPr>
              <w:t>卓安项目管理有限公司</w:t>
            </w:r>
          </w:p>
          <w:p>
            <w:pPr>
              <w:keepNext w:val="0"/>
              <w:keepLines w:val="0"/>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开户行：</w:t>
            </w:r>
            <w:r>
              <w:rPr>
                <w:rFonts w:hint="eastAsia" w:ascii="仿宋" w:hAnsi="仿宋" w:eastAsia="仿宋" w:cs="仿宋"/>
                <w:color w:val="auto"/>
                <w:sz w:val="24"/>
                <w:szCs w:val="24"/>
                <w:highlight w:val="none"/>
                <w:lang w:eastAsia="zh-CN"/>
              </w:rPr>
              <w:t>中国建设银行股份有限公司西安金泰假日花城支行</w:t>
            </w:r>
          </w:p>
          <w:p>
            <w:pPr>
              <w:pStyle w:val="36"/>
              <w:keepNext w:val="0"/>
              <w:keepLines w:val="0"/>
              <w:pageBreakBefore w:val="0"/>
              <w:kinsoku/>
              <w:wordWrap/>
              <w:overflowPunct/>
              <w:topLinePunct w:val="0"/>
              <w:autoSpaceDE/>
              <w:autoSpaceDN/>
              <w:bidi w:val="0"/>
              <w:adjustRightInd/>
              <w:snapToGrid/>
              <w:spacing w:line="640" w:lineRule="exact"/>
              <w:ind w:firstLine="0" w:firstLineChars="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帐  号：</w:t>
            </w:r>
            <w:r>
              <w:rPr>
                <w:rFonts w:hint="eastAsia" w:ascii="仿宋" w:hAnsi="仿宋" w:eastAsia="仿宋" w:cs="仿宋"/>
                <w:color w:val="auto"/>
                <w:sz w:val="24"/>
                <w:szCs w:val="24"/>
                <w:highlight w:val="none"/>
                <w:lang w:val="en-US" w:eastAsia="zh-CN"/>
              </w:rPr>
              <w:t>6105 0186 5800 0000 0059</w:t>
            </w:r>
          </w:p>
          <w:p>
            <w:pPr>
              <w:pStyle w:val="36"/>
              <w:keepNext w:val="0"/>
              <w:keepLines w:val="0"/>
              <w:pageBreakBefore w:val="0"/>
              <w:kinsoku/>
              <w:overflowPunct/>
              <w:autoSpaceDE/>
              <w:autoSpaceDN/>
              <w:bidi w:val="0"/>
              <w:spacing w:line="640" w:lineRule="exact"/>
              <w:ind w:firstLine="0" w:firstLineChars="0"/>
              <w:textAlignment w:val="auto"/>
              <w:rPr>
                <w:rFonts w:hint="eastAsia" w:ascii="仿宋" w:hAnsi="仿宋" w:eastAsia="仿宋" w:cs="仿宋"/>
                <w:color w:val="auto"/>
                <w:sz w:val="24"/>
                <w:szCs w:val="24"/>
                <w:highlight w:val="none"/>
                <w:lang w:eastAsia="zh-CN"/>
              </w:rPr>
            </w:pPr>
            <w:r>
              <w:rPr>
                <w:rFonts w:hint="eastAsia" w:ascii="仿宋" w:hAnsi="仿宋" w:eastAsia="仿宋" w:cs="仿宋"/>
                <w:b/>
                <w:color w:val="auto"/>
                <w:sz w:val="24"/>
                <w:szCs w:val="24"/>
                <w:highlight w:val="none"/>
              </w:rPr>
              <w:t>注:</w:t>
            </w:r>
            <w:r>
              <w:rPr>
                <w:rFonts w:hint="eastAsia" w:ascii="仿宋" w:hAnsi="仿宋" w:eastAsia="仿宋" w:cs="仿宋"/>
                <w:b/>
                <w:color w:val="auto"/>
                <w:sz w:val="24"/>
                <w:szCs w:val="24"/>
                <w:highlight w:val="none"/>
                <w:lang w:eastAsia="zh-CN"/>
              </w:rPr>
              <w:t>招标服务费</w:t>
            </w:r>
            <w:r>
              <w:rPr>
                <w:rFonts w:hint="eastAsia" w:ascii="仿宋" w:hAnsi="仿宋" w:eastAsia="仿宋" w:cs="仿宋"/>
                <w:b/>
                <w:color w:val="auto"/>
                <w:sz w:val="24"/>
                <w:szCs w:val="24"/>
                <w:highlight w:val="none"/>
              </w:rPr>
              <w:t>采用转账形式交纳</w:t>
            </w:r>
            <w:r>
              <w:rPr>
                <w:rFonts w:hint="eastAsia" w:ascii="仿宋" w:hAnsi="仿宋" w:eastAsia="仿宋" w:cs="仿宋"/>
                <w:b/>
                <w:color w:val="auto"/>
                <w:sz w:val="24"/>
                <w:szCs w:val="24"/>
                <w:highlight w:val="none"/>
                <w:lang w:eastAsia="zh-CN"/>
              </w:rPr>
              <w:t>，投标人在汇款（招标代理服务费）时须注明项目编号+项目简称。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20</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备选投标方案</w:t>
            </w:r>
          </w:p>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和报价</w:t>
            </w:r>
          </w:p>
        </w:tc>
        <w:tc>
          <w:tcPr>
            <w:tcW w:w="6359" w:type="dxa"/>
            <w:vAlign w:val="center"/>
          </w:tcPr>
          <w:p>
            <w:pPr>
              <w:keepNext w:val="0"/>
              <w:keepLines w:val="0"/>
              <w:pageBreakBefore w:val="0"/>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不接受备选投标方案和多个报价。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21</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盖章签字</w:t>
            </w:r>
          </w:p>
        </w:tc>
        <w:tc>
          <w:tcPr>
            <w:tcW w:w="6359" w:type="dxa"/>
            <w:vAlign w:val="center"/>
          </w:tcPr>
          <w:p>
            <w:pPr>
              <w:keepNext w:val="0"/>
              <w:keepLines w:val="0"/>
              <w:pageBreakBefore w:val="0"/>
              <w:numPr>
                <w:ilvl w:val="0"/>
                <w:numId w:val="3"/>
              </w:numPr>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电子投标文件制作过程中，需要法定代表人签字或盖章的地方，请使用“法人CA锁”进行签章；需要加盖投标人公章的地方，请使用“企业CA锁”进行签章。</w:t>
            </w:r>
          </w:p>
          <w:p>
            <w:pPr>
              <w:keepNext w:val="0"/>
              <w:keepLines w:val="0"/>
              <w:pageBreakBefore w:val="0"/>
              <w:numPr>
                <w:ilvl w:val="0"/>
                <w:numId w:val="0"/>
              </w:numPr>
              <w:tabs>
                <w:tab w:val="left" w:pos="7013"/>
              </w:tabs>
              <w:kinsoku/>
              <w:overflowPunct/>
              <w:autoSpaceDE/>
              <w:autoSpaceDN/>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投标人必须按照招标文件的规定和要求在投标文件中指定的页面落款处加盖公章并由法定代表人签字（或盖章），否则将作为无效投标处理。招标文件凡是要求法定代表人签字或盖章之处，非法人单位的负责人均参照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22</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highlight w:val="none"/>
              </w:rPr>
              <w:t>本项目属于交钥匙项目，投标报价=</w:t>
            </w:r>
            <w:r>
              <w:rPr>
                <w:rFonts w:hint="eastAsia" w:ascii="仿宋" w:hAnsi="仿宋" w:eastAsia="仿宋" w:cs="仿宋"/>
                <w:color w:val="auto"/>
                <w:kern w:val="2"/>
                <w:sz w:val="24"/>
                <w:szCs w:val="24"/>
                <w:highlight w:val="none"/>
                <w:lang w:eastAsia="zh-CN"/>
              </w:rPr>
              <w:t>服务费+保险费+人员费+堤顶道路交通工程及附属设施维护费+采购人项目管理费+项目备用金+其他相关伴随费用</w:t>
            </w:r>
            <w:r>
              <w:rPr>
                <w:rFonts w:hint="eastAsia" w:ascii="仿宋" w:hAnsi="仿宋" w:eastAsia="仿宋" w:cs="仿宋"/>
                <w:color w:val="auto"/>
                <w:kern w:val="2"/>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23</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评标办法及标准</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详见招标文件第二章。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24</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其它事项</w:t>
            </w:r>
          </w:p>
        </w:tc>
        <w:tc>
          <w:tcPr>
            <w:tcW w:w="6359" w:type="dxa"/>
            <w:vAlign w:val="center"/>
          </w:tcPr>
          <w:p>
            <w:pPr>
              <w:keepNext w:val="0"/>
              <w:keepLines w:val="0"/>
              <w:pageBreakBefore w:val="0"/>
              <w:kinsoku/>
              <w:overflowPunct/>
              <w:autoSpaceDE/>
              <w:autoSpaceDN/>
              <w:bidi w:val="0"/>
              <w:adjustRightInd w:val="0"/>
              <w:snapToGrid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本次采购、投标报价、评审和合同授予均以项目为单位，投标人必须就一个完整项目进行响应。中标投标人与采购人在中标通知书发出30天内签订合同，不及时签订视为自动放弃。非经采购人同意，本项目不允许中标后另行转包或者分包。</w:t>
            </w:r>
            <w:r>
              <w:rPr>
                <w:rFonts w:hint="eastAsia" w:ascii="仿宋" w:hAnsi="仿宋" w:eastAsia="仿宋" w:cs="仿宋"/>
                <w:color w:val="auto"/>
                <w:kern w:val="0"/>
                <w:szCs w:val="24"/>
                <w:highlight w:val="none"/>
              </w:rPr>
              <w:t>中标人无正当理由不得放弃中标。</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9" w:type="dxa"/>
            <w:vAlign w:val="center"/>
          </w:tcPr>
          <w:p>
            <w:pPr>
              <w:pStyle w:val="37"/>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25</w:t>
            </w:r>
          </w:p>
        </w:tc>
        <w:tc>
          <w:tcPr>
            <w:tcW w:w="2388" w:type="dxa"/>
            <w:vAlign w:val="center"/>
          </w:tcPr>
          <w:p>
            <w:pPr>
              <w:pStyle w:val="37"/>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val="en-US" w:eastAsia="zh-CN"/>
              </w:rPr>
              <w:t>本项目是否专门面向中小企业</w:t>
            </w:r>
          </w:p>
        </w:tc>
        <w:tc>
          <w:tcPr>
            <w:tcW w:w="6359" w:type="dxa"/>
            <w:vAlign w:val="center"/>
          </w:tcPr>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rPr>
            </w:pPr>
            <w:r>
              <w:rPr>
                <w:rFonts w:hint="eastAsia" w:ascii="仿宋" w:hAnsi="仿宋" w:eastAsia="仿宋" w:cs="仿宋"/>
                <w:color w:val="auto"/>
                <w:kern w:val="2"/>
                <w:sz w:val="24"/>
                <w:szCs w:val="24"/>
                <w:highlight w:val="none"/>
                <w:lang w:eastAsia="zh-CN"/>
              </w:rPr>
              <w:t>☑是</w:t>
            </w:r>
            <w:r>
              <w:rPr>
                <w:rFonts w:hint="eastAsia" w:ascii="仿宋" w:hAnsi="仿宋" w:eastAsia="仿宋" w:cs="仿宋"/>
                <w:color w:val="auto"/>
                <w:kern w:val="2"/>
                <w:sz w:val="24"/>
                <w:szCs w:val="24"/>
                <w:highlight w:val="none"/>
                <w:lang w:val="en-US" w:eastAsia="zh-CN"/>
              </w:rPr>
              <w:t xml:space="preserve">    </w:t>
            </w:r>
            <w:r>
              <w:rPr>
                <w:rFonts w:hint="eastAsia" w:ascii="仿宋" w:hAnsi="仿宋" w:eastAsia="仿宋" w:cs="仿宋"/>
                <w:color w:val="auto"/>
                <w:kern w:val="2"/>
                <w:sz w:val="24"/>
                <w:szCs w:val="24"/>
                <w:highlight w:val="none"/>
                <w:lang w:eastAsia="zh-CN"/>
              </w:rPr>
              <w:t>□</w:t>
            </w:r>
            <w:r>
              <w:rPr>
                <w:rFonts w:hint="eastAsia" w:ascii="仿宋" w:hAnsi="仿宋" w:eastAsia="仿宋" w:cs="仿宋"/>
                <w:color w:val="auto"/>
                <w:kern w:val="2"/>
                <w:sz w:val="24"/>
                <w:szCs w:val="24"/>
                <w:highlight w:val="none"/>
                <w:lang w:val="en-US" w:eastAsia="zh-CN"/>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double"/>
                <w:lang w:val="en-US" w:eastAsia="zh-CN"/>
              </w:rPr>
            </w:pPr>
            <w:r>
              <w:rPr>
                <w:rFonts w:hint="eastAsia" w:ascii="仿宋" w:hAnsi="仿宋" w:eastAsia="仿宋" w:cs="仿宋"/>
                <w:color w:val="auto"/>
                <w:szCs w:val="24"/>
                <w:highlight w:val="none"/>
                <w:u w:val="none"/>
                <w:lang w:val="en-US" w:eastAsia="zh-CN"/>
              </w:rPr>
              <w:t>26</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本项目所属行业</w:t>
            </w:r>
          </w:p>
        </w:tc>
        <w:tc>
          <w:tcPr>
            <w:tcW w:w="6359" w:type="dxa"/>
            <w:vAlign w:val="center"/>
          </w:tcPr>
          <w:p>
            <w:pPr>
              <w:keepNext w:val="0"/>
              <w:keepLines w:val="0"/>
              <w:pageBreakBefore w:val="0"/>
              <w:kinsoku/>
              <w:overflowPunct/>
              <w:autoSpaceDE/>
              <w:autoSpaceDN/>
              <w:bidi w:val="0"/>
              <w:spacing w:line="640" w:lineRule="exact"/>
              <w:jc w:val="both"/>
              <w:textAlignment w:val="auto"/>
              <w:rPr>
                <w:rFonts w:hint="eastAsia" w:ascii="仿宋" w:hAnsi="仿宋" w:eastAsia="仿宋" w:cs="仿宋"/>
                <w:color w:val="auto"/>
                <w:szCs w:val="24"/>
                <w:highlight w:val="none"/>
                <w:u w:val="none" w:color="auto"/>
                <w:lang w:val="en-US" w:eastAsia="zh-CN"/>
              </w:rPr>
            </w:pPr>
            <w:r>
              <w:rPr>
                <w:rFonts w:hint="eastAsia" w:ascii="仿宋" w:hAnsi="仿宋" w:eastAsia="仿宋" w:cs="仿宋"/>
                <w:color w:val="auto"/>
                <w:szCs w:val="24"/>
                <w:highlight w:val="none"/>
                <w:u w:val="none" w:color="auto"/>
                <w:lang w:val="en-US" w:eastAsia="zh-CN"/>
              </w:rPr>
              <w:t>其他未列明行业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27</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西安市公共资源交易中心电子化政府采购系统技术支持（软件开发商）</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国泰新点软件股份有限公司</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1．技术支持热线：400-998-0000/400-928-0095</w:t>
            </w:r>
          </w:p>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2．驻场技术人员：029-86510166/86510167转80310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jc w:val="center"/>
        </w:trPr>
        <w:tc>
          <w:tcPr>
            <w:tcW w:w="709" w:type="dxa"/>
            <w:vAlign w:val="center"/>
          </w:tcPr>
          <w:p>
            <w:pPr>
              <w:keepNext w:val="0"/>
              <w:keepLines w:val="0"/>
              <w:pageBreakBefore w:val="0"/>
              <w:kinsoku/>
              <w:overflowPunct/>
              <w:autoSpaceDE/>
              <w:autoSpaceDN/>
              <w:bidi w:val="0"/>
              <w:spacing w:line="640" w:lineRule="exact"/>
              <w:jc w:val="center"/>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28</w:t>
            </w:r>
          </w:p>
        </w:tc>
        <w:tc>
          <w:tcPr>
            <w:tcW w:w="2388" w:type="dxa"/>
            <w:vAlign w:val="center"/>
          </w:tcPr>
          <w:p>
            <w:pPr>
              <w:keepNext w:val="0"/>
              <w:keepLines w:val="0"/>
              <w:pageBreakBefore w:val="0"/>
              <w:kinsoku/>
              <w:overflowPunct/>
              <w:autoSpaceDE/>
              <w:autoSpaceDN/>
              <w:bidi w:val="0"/>
              <w:spacing w:line="640" w:lineRule="exact"/>
              <w:jc w:val="center"/>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投标文件份数</w:t>
            </w:r>
          </w:p>
        </w:tc>
        <w:tc>
          <w:tcPr>
            <w:tcW w:w="6359" w:type="dxa"/>
            <w:vAlign w:val="center"/>
          </w:tcPr>
          <w:p>
            <w:pPr>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中标人在领取中标通知书时提供一正两副纸质投标文件及电子投标文件一份（U盘或移动硬盘；电子投标文件为Word版本和PDF版本，PDF文件为签字、盖章的完整正本扫描件）。</w:t>
            </w:r>
          </w:p>
          <w:p>
            <w:pPr>
              <w:pStyle w:val="37"/>
              <w:keepNext w:val="0"/>
              <w:keepLines w:val="0"/>
              <w:pageBreakBefore w:val="0"/>
              <w:kinsoku/>
              <w:overflowPunct/>
              <w:autoSpaceDE/>
              <w:autoSpaceDN/>
              <w:bidi w:val="0"/>
              <w:spacing w:line="640" w:lineRule="exac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装订：纸质投标文件采用书籍（胶装）方式装订成册，与电子投标文件一致的签字、盖章的完整版本。</w:t>
            </w:r>
          </w:p>
        </w:tc>
      </w:tr>
    </w:tbl>
    <w:p>
      <w:pPr>
        <w:keepNext/>
        <w:keepLines/>
        <w:pageBreakBefore w:val="0"/>
        <w:widowControl w:val="0"/>
        <w:kinsoku/>
        <w:wordWrap/>
        <w:overflowPunct/>
        <w:topLinePunct w:val="0"/>
        <w:autoSpaceDE/>
        <w:autoSpaceDN/>
        <w:bidi w:val="0"/>
        <w:adjustRightInd/>
        <w:snapToGrid/>
        <w:spacing w:line="560" w:lineRule="exact"/>
        <w:textAlignment w:val="auto"/>
        <w:outlineLvl w:val="9"/>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br w:type="page"/>
      </w:r>
    </w:p>
    <w:p>
      <w:pPr>
        <w:pStyle w:val="4"/>
        <w:spacing w:line="560" w:lineRule="exact"/>
        <w:rPr>
          <w:rFonts w:hint="eastAsia" w:ascii="仿宋" w:hAnsi="仿宋" w:eastAsia="仿宋" w:cs="仿宋"/>
          <w:color w:val="auto"/>
          <w:kern w:val="0"/>
          <w:sz w:val="28"/>
          <w:szCs w:val="28"/>
          <w:highlight w:val="none"/>
        </w:rPr>
      </w:pPr>
      <w:bookmarkStart w:id="11" w:name="_Toc14091"/>
      <w:r>
        <w:rPr>
          <w:rFonts w:hint="eastAsia" w:ascii="仿宋" w:hAnsi="仿宋" w:eastAsia="仿宋" w:cs="仿宋"/>
          <w:color w:val="auto"/>
          <w:kern w:val="0"/>
          <w:sz w:val="28"/>
          <w:szCs w:val="28"/>
          <w:highlight w:val="none"/>
        </w:rPr>
        <w:t>二、项目说明</w:t>
      </w:r>
      <w:bookmarkEnd w:id="11"/>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1、本项目说明详见投标人须知前附表。</w:t>
      </w:r>
      <w:bookmarkStart w:id="12" w:name="_Toc458617732"/>
      <w:bookmarkStart w:id="13" w:name="_Toc458617455"/>
    </w:p>
    <w:p>
      <w:pPr>
        <w:spacing w:line="560" w:lineRule="exact"/>
        <w:ind w:firstLine="57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2、本项目按照《中华人民共和国政府采购法》等有关法律、行政法规和部门规章，通过公开招标方式择优选定中标人。</w:t>
      </w:r>
    </w:p>
    <w:bookmarkEnd w:id="12"/>
    <w:bookmarkEnd w:id="13"/>
    <w:p>
      <w:pPr>
        <w:pStyle w:val="4"/>
        <w:spacing w:line="560" w:lineRule="exact"/>
        <w:rPr>
          <w:rFonts w:hint="eastAsia" w:ascii="仿宋" w:hAnsi="仿宋" w:eastAsia="仿宋" w:cs="仿宋"/>
          <w:color w:val="auto"/>
          <w:kern w:val="0"/>
          <w:sz w:val="28"/>
          <w:szCs w:val="28"/>
          <w:highlight w:val="none"/>
        </w:rPr>
      </w:pPr>
      <w:bookmarkStart w:id="14" w:name="_Toc18887"/>
      <w:bookmarkStart w:id="15" w:name="_Toc458617733"/>
      <w:bookmarkStart w:id="16" w:name="_Toc458617456"/>
      <w:r>
        <w:rPr>
          <w:rFonts w:hint="eastAsia" w:ascii="仿宋" w:hAnsi="仿宋" w:eastAsia="仿宋" w:cs="仿宋"/>
          <w:color w:val="auto"/>
          <w:kern w:val="0"/>
          <w:sz w:val="28"/>
          <w:szCs w:val="28"/>
          <w:highlight w:val="none"/>
        </w:rPr>
        <w:t>三、招标文件</w:t>
      </w:r>
      <w:bookmarkEnd w:id="14"/>
      <w:bookmarkEnd w:id="15"/>
      <w:bookmarkEnd w:id="16"/>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bookmarkStart w:id="17" w:name="_Toc458617734"/>
      <w:bookmarkStart w:id="18" w:name="_Toc458617457"/>
      <w:r>
        <w:rPr>
          <w:rFonts w:hint="eastAsia" w:ascii="仿宋" w:hAnsi="仿宋" w:eastAsia="仿宋" w:cs="仿宋"/>
          <w:color w:val="auto"/>
          <w:szCs w:val="24"/>
          <w:highlight w:val="none"/>
        </w:rPr>
        <w:t>1.招标文件适用：仅适用于本次招标文件所述项目。</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招标文件获取：投标人须从全国公共资源交易平台（陕西省·西安市）网站〖首页〉电子交易平台〉陕西政府采购交易系统〉企业端〗自行下载招标文件，投标人自行转让招标文件视为无效招标文件。投标人名称与登记获取招标文件的单位名称不一致的，将作为无效投标处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3.招标文件的组成：包括目录中所列的前五章。 </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4.投标人应认真审阅和充分理解招标文件所有的事项、格式、条款和规范要求等，在投标文件中对招标文件的各方面都做出响应，否则将导致投标无效。</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5.招标文件的澄清或修改：</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5.1采购人或采购代理机构可以以书面形式对招标文件进行必要的澄清或修改，但不得改变采购标的和资格条件，并在原信息发布媒体上发布变更公告。澄清或修改的内容均为招标文件的组成部分，并对采购人及投标人起约束作用。澄清或修改的内容可能影响投标文件编制的，都将于提交投标文件截止时间15日前以书面形式通知所有获取招标文件的潜在投标人；不足15日的，采购人或者采购代理机构应当顺延提交投标文件的截止时间。</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招标文件的澄清或修改内容均以书面形式明确的内容为准。当招标文件的澄清、修改、补充等在同一内容的表述上不一致时，以最后发出的书面文件为准。所有补充文件将作为招标文件的组成部分，对所有投标人具有约束力。</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投标人若对招标文件有任何疑问，可以以书面形式向采购代理机构提出询问。否则，视为同意招标文件的一切条款和要求并承担由此引起的一切法律责任。凡因投标人对招标文件阅读不深、理解不透、误解、疏漏、或因市场行情了解不清造成的后果和风险均由投标人自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7.投标人认为招标文件使自己的权益受到损害的，在收到采购文件之日起七个工作日内以书面形式向采购代理机构提出质疑，逾期提出的无效，因此带来的一切不利后果由投标人自负。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8.在投标截止时间前，根据招标工作进展实际情况，采购人可酌情延长提交投标文件的截止时间，若延长将另行以书面形式通知各投标人并在原信息发布媒体上发布变更公告。采购代理机构和投标人的权利和义务将受到新的截止期的约束。</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9.如发现招标文件内容与现行法律法规不相符的情况，以现行法律法规为准。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宋体" w:hAnsi="宋体" w:cs="宋体"/>
          <w:color w:val="auto"/>
          <w:sz w:val="28"/>
          <w:szCs w:val="28"/>
          <w:highlight w:val="none"/>
        </w:rPr>
      </w:pPr>
      <w:r>
        <w:rPr>
          <w:rFonts w:hint="eastAsia" w:ascii="仿宋" w:hAnsi="仿宋" w:eastAsia="仿宋" w:cs="仿宋"/>
          <w:color w:val="auto"/>
          <w:szCs w:val="24"/>
          <w:highlight w:val="none"/>
        </w:rPr>
        <w:t>10.现场勘查、标前答疑会：见须知前附表。</w:t>
      </w:r>
    </w:p>
    <w:p>
      <w:pPr>
        <w:pStyle w:val="4"/>
        <w:spacing w:line="560" w:lineRule="exact"/>
        <w:rPr>
          <w:rFonts w:hint="eastAsia" w:ascii="仿宋" w:hAnsi="仿宋" w:eastAsia="仿宋" w:cs="仿宋"/>
          <w:color w:val="auto"/>
          <w:kern w:val="0"/>
          <w:sz w:val="28"/>
          <w:szCs w:val="28"/>
          <w:highlight w:val="none"/>
        </w:rPr>
      </w:pPr>
      <w:bookmarkStart w:id="19" w:name="_Toc27338"/>
      <w:r>
        <w:rPr>
          <w:rFonts w:hint="eastAsia" w:ascii="仿宋" w:hAnsi="仿宋" w:eastAsia="仿宋" w:cs="仿宋"/>
          <w:color w:val="auto"/>
          <w:kern w:val="0"/>
          <w:sz w:val="28"/>
          <w:szCs w:val="28"/>
          <w:highlight w:val="none"/>
        </w:rPr>
        <w:t>四、投标文件</w:t>
      </w:r>
      <w:bookmarkEnd w:id="17"/>
      <w:bookmarkEnd w:id="18"/>
      <w:bookmarkEnd w:id="19"/>
    </w:p>
    <w:p>
      <w:pPr>
        <w:spacing w:line="560" w:lineRule="exact"/>
        <w:ind w:firstLine="240" w:firstLineChars="100"/>
        <w:rPr>
          <w:rFonts w:hint="eastAsia" w:ascii="仿宋" w:hAnsi="仿宋" w:eastAsia="仿宋" w:cs="仿宋"/>
          <w:color w:val="auto"/>
          <w:highlight w:val="none"/>
        </w:rPr>
      </w:pPr>
      <w:r>
        <w:rPr>
          <w:rFonts w:hint="eastAsia" w:ascii="仿宋" w:hAnsi="仿宋" w:eastAsia="仿宋" w:cs="仿宋"/>
          <w:color w:val="auto"/>
          <w:highlight w:val="none"/>
        </w:rPr>
        <w:t>1、投标人资格要求</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b w:val="0"/>
          <w:bCs w:val="0"/>
          <w:color w:val="auto"/>
          <w:sz w:val="24"/>
          <w:szCs w:val="24"/>
          <w:highlight w:val="none"/>
        </w:rPr>
      </w:pPr>
      <w:r>
        <w:rPr>
          <w:rFonts w:hint="eastAsia" w:ascii="仿宋" w:hAnsi="仿宋" w:eastAsia="仿宋" w:cs="仿宋"/>
          <w:b w:val="0"/>
          <w:bCs w:val="0"/>
          <w:color w:val="auto"/>
          <w:sz w:val="24"/>
          <w:szCs w:val="24"/>
          <w:highlight w:val="none"/>
          <w:lang w:val="en-US" w:eastAsia="zh-CN"/>
        </w:rPr>
        <w:t>6、</w:t>
      </w:r>
      <w:r>
        <w:rPr>
          <w:rFonts w:hint="eastAsia" w:ascii="仿宋" w:hAnsi="仿宋" w:eastAsia="仿宋" w:cs="仿宋"/>
          <w:b w:val="0"/>
          <w:bCs w:val="0"/>
          <w:color w:val="auto"/>
          <w:sz w:val="24"/>
          <w:szCs w:val="24"/>
          <w:highlight w:val="none"/>
        </w:rPr>
        <w:t>本项目不接受联合体投标。</w:t>
      </w:r>
    </w:p>
    <w:p>
      <w:pPr>
        <w:spacing w:line="560" w:lineRule="exact"/>
        <w:ind w:firstLine="240" w:firstLineChars="1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2、合格投标人</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依照《中华人民共和国公司法》合法注册的法人或其他组织、符合《中华人民共和国政府采购法》</w:t>
      </w:r>
      <w:bookmarkStart w:id="20" w:name="OLE_LINK8"/>
      <w:r>
        <w:rPr>
          <w:rFonts w:hint="eastAsia" w:ascii="仿宋" w:hAnsi="仿宋" w:eastAsia="仿宋" w:cs="仿宋"/>
          <w:color w:val="auto"/>
          <w:szCs w:val="24"/>
          <w:highlight w:val="none"/>
        </w:rPr>
        <w:t>及其实施条例等有关法律法规的规定</w:t>
      </w:r>
      <w:bookmarkEnd w:id="20"/>
      <w:r>
        <w:rPr>
          <w:rFonts w:hint="eastAsia" w:ascii="仿宋" w:hAnsi="仿宋" w:eastAsia="仿宋" w:cs="仿宋"/>
          <w:color w:val="auto"/>
          <w:szCs w:val="24"/>
          <w:highlight w:val="none"/>
        </w:rPr>
        <w:t>并满足本项目资格条件。不符合上述规定的投标人，投标无效。</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3、投标人信用信息：</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3-1、采购人或采购代理机构将于本项目投标截止日在‘信用中国’网站、‘中国政府采购网’网站等渠道对供应商进行信用记录查询，</w:t>
      </w:r>
      <w:r>
        <w:rPr>
          <w:rFonts w:hint="eastAsia" w:ascii="仿宋" w:hAnsi="仿宋" w:eastAsia="仿宋"/>
          <w:color w:val="auto"/>
          <w:sz w:val="24"/>
          <w:szCs w:val="24"/>
          <w:highlight w:val="none"/>
          <w:u w:val="none"/>
        </w:rPr>
        <w:t>查询的信用记录将进行打印存档</w:t>
      </w:r>
      <w:r>
        <w:rPr>
          <w:rFonts w:hint="eastAsia" w:ascii="仿宋" w:hAnsi="仿宋" w:eastAsia="仿宋"/>
          <w:color w:val="auto"/>
          <w:sz w:val="24"/>
          <w:szCs w:val="24"/>
          <w:highlight w:val="none"/>
          <w:u w:val="none"/>
          <w:lang w:eastAsia="zh-CN"/>
        </w:rPr>
        <w:t>，</w:t>
      </w:r>
      <w:r>
        <w:rPr>
          <w:rFonts w:hint="eastAsia" w:ascii="仿宋" w:hAnsi="仿宋" w:eastAsia="仿宋" w:cs="仿宋"/>
          <w:color w:val="auto"/>
          <w:szCs w:val="24"/>
          <w:highlight w:val="none"/>
        </w:rPr>
        <w:t xml:space="preserve">凡被列入失信被执行人、重大税收违法案件当事人名单、政府采购严重违法失信行为记录名单的，视为存在不良信用记录，参与本项目的将被拒绝。 </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、特别说明：</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（1）投标人如在中标通知书发出前出现违法失信行为，采购人仍有权利提请评标委员会取消其中标资格；</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（2）投标人在投标文件中已出具的信用查询结果并不能取代采购人或采购代理机构在评标前进行复查。</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 xml:space="preserve">4、投标文件的组成 </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4-1、投标函（格式）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4-2、开标一览表（格式）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4-3、投标分项报价表（格式）</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响应及偏离表（格式）</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4-</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、商务</w:t>
      </w:r>
      <w:r>
        <w:rPr>
          <w:rFonts w:hint="eastAsia" w:ascii="仿宋" w:hAnsi="仿宋" w:eastAsia="仿宋" w:cs="仿宋"/>
          <w:color w:val="auto"/>
          <w:szCs w:val="24"/>
          <w:highlight w:val="none"/>
          <w:lang w:val="en-US" w:eastAsia="zh-CN"/>
        </w:rPr>
        <w:t>条款</w:t>
      </w:r>
      <w:r>
        <w:rPr>
          <w:rFonts w:hint="eastAsia" w:ascii="仿宋" w:hAnsi="仿宋" w:eastAsia="仿宋" w:cs="仿宋"/>
          <w:color w:val="auto"/>
          <w:szCs w:val="24"/>
          <w:highlight w:val="none"/>
        </w:rPr>
        <w:t>响应及偏离表（格式）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6</w:t>
      </w:r>
      <w:r>
        <w:rPr>
          <w:rFonts w:hint="eastAsia" w:ascii="仿宋" w:hAnsi="仿宋" w:eastAsia="仿宋" w:cs="仿宋"/>
          <w:color w:val="auto"/>
          <w:kern w:val="0"/>
          <w:szCs w:val="24"/>
          <w:highlight w:val="none"/>
        </w:rPr>
        <w:t>、资格证明文件</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7</w:t>
      </w:r>
      <w:r>
        <w:rPr>
          <w:rFonts w:hint="eastAsia" w:ascii="仿宋" w:hAnsi="仿宋" w:eastAsia="仿宋" w:cs="仿宋"/>
          <w:color w:val="auto"/>
          <w:kern w:val="0"/>
          <w:szCs w:val="24"/>
          <w:highlight w:val="none"/>
        </w:rPr>
        <w:t>、20</w:t>
      </w:r>
      <w:r>
        <w:rPr>
          <w:rFonts w:hint="eastAsia" w:ascii="仿宋" w:hAnsi="仿宋" w:eastAsia="仿宋" w:cs="仿宋"/>
          <w:color w:val="auto"/>
          <w:kern w:val="0"/>
          <w:szCs w:val="24"/>
          <w:highlight w:val="none"/>
          <w:lang w:val="en-US" w:eastAsia="zh-CN"/>
        </w:rPr>
        <w:t>20</w:t>
      </w:r>
      <w:r>
        <w:rPr>
          <w:rFonts w:hint="eastAsia" w:ascii="仿宋" w:hAnsi="仿宋" w:eastAsia="仿宋" w:cs="仿宋"/>
          <w:color w:val="auto"/>
          <w:kern w:val="0"/>
          <w:szCs w:val="24"/>
          <w:highlight w:val="none"/>
        </w:rPr>
        <w:t>年1月</w:t>
      </w:r>
      <w:r>
        <w:rPr>
          <w:rFonts w:hint="eastAsia" w:ascii="仿宋" w:hAnsi="仿宋" w:eastAsia="仿宋" w:cs="仿宋"/>
          <w:color w:val="auto"/>
          <w:kern w:val="0"/>
          <w:szCs w:val="24"/>
          <w:highlight w:val="none"/>
          <w:lang w:val="en-US" w:eastAsia="zh-CN"/>
        </w:rPr>
        <w:t>1日</w:t>
      </w:r>
      <w:r>
        <w:rPr>
          <w:rFonts w:hint="eastAsia" w:ascii="仿宋" w:hAnsi="仿宋" w:eastAsia="仿宋" w:cs="仿宋"/>
          <w:color w:val="auto"/>
          <w:kern w:val="0"/>
          <w:szCs w:val="24"/>
          <w:highlight w:val="none"/>
        </w:rPr>
        <w:t>至今类似项目业绩（以合同为准</w:t>
      </w:r>
      <w:r>
        <w:rPr>
          <w:rFonts w:hint="eastAsia" w:ascii="仿宋" w:hAnsi="仿宋" w:eastAsia="仿宋" w:cs="仿宋"/>
          <w:color w:val="auto"/>
          <w:kern w:val="0"/>
          <w:szCs w:val="24"/>
          <w:highlight w:val="none"/>
          <w:lang w:eastAsia="zh-CN"/>
        </w:rPr>
        <w:t>，</w:t>
      </w:r>
      <w:r>
        <w:rPr>
          <w:rFonts w:hint="eastAsia" w:ascii="仿宋" w:hAnsi="仿宋" w:eastAsia="仿宋" w:cs="仿宋"/>
          <w:color w:val="auto"/>
          <w:kern w:val="0"/>
          <w:szCs w:val="24"/>
          <w:highlight w:val="none"/>
          <w:lang w:val="en-US" w:eastAsia="zh-CN"/>
        </w:rPr>
        <w:t>复印件加盖公章</w:t>
      </w:r>
      <w:r>
        <w:rPr>
          <w:rFonts w:hint="eastAsia" w:ascii="仿宋" w:hAnsi="仿宋" w:eastAsia="仿宋" w:cs="仿宋"/>
          <w:color w:val="auto"/>
          <w:kern w:val="0"/>
          <w:szCs w:val="24"/>
          <w:highlight w:val="none"/>
        </w:rPr>
        <w:t>）</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8</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val="en-US" w:eastAsia="zh-CN"/>
        </w:rPr>
        <w:t>服务</w:t>
      </w:r>
      <w:r>
        <w:rPr>
          <w:rFonts w:hint="eastAsia" w:ascii="仿宋" w:hAnsi="仿宋" w:eastAsia="仿宋" w:cs="仿宋"/>
          <w:color w:val="auto"/>
          <w:kern w:val="0"/>
          <w:szCs w:val="24"/>
          <w:highlight w:val="none"/>
        </w:rPr>
        <w:t>方案</w:t>
      </w:r>
      <w:r>
        <w:rPr>
          <w:rFonts w:hint="eastAsia" w:ascii="仿宋" w:hAnsi="仿宋" w:eastAsia="仿宋" w:cs="仿宋"/>
          <w:color w:val="auto"/>
          <w:kern w:val="0"/>
          <w:szCs w:val="24"/>
          <w:highlight w:val="none"/>
          <w:lang w:val="en-US" w:eastAsia="zh-CN"/>
        </w:rPr>
        <w:t>（格式）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w:t>
      </w:r>
      <w:r>
        <w:rPr>
          <w:rFonts w:hint="eastAsia" w:ascii="仿宋" w:hAnsi="仿宋" w:eastAsia="仿宋" w:cs="仿宋"/>
          <w:color w:val="auto"/>
          <w:kern w:val="0"/>
          <w:szCs w:val="24"/>
          <w:highlight w:val="none"/>
          <w:lang w:val="en-US" w:eastAsia="zh-CN"/>
        </w:rPr>
        <w:t>9</w:t>
      </w:r>
      <w:r>
        <w:rPr>
          <w:rFonts w:hint="eastAsia" w:ascii="仿宋" w:hAnsi="仿宋" w:eastAsia="仿宋" w:cs="仿宋"/>
          <w:color w:val="auto"/>
          <w:kern w:val="0"/>
          <w:szCs w:val="24"/>
          <w:highlight w:val="none"/>
        </w:rPr>
        <w:t>、</w:t>
      </w:r>
      <w:r>
        <w:rPr>
          <w:rFonts w:hint="eastAsia" w:ascii="仿宋" w:hAnsi="仿宋" w:eastAsia="仿宋" w:cs="仿宋"/>
          <w:color w:val="auto"/>
          <w:kern w:val="0"/>
          <w:szCs w:val="24"/>
          <w:highlight w:val="none"/>
          <w:lang w:val="en-US" w:eastAsia="zh-CN"/>
        </w:rPr>
        <w:t>拟派项目人员与设备配备（格式）</w:t>
      </w:r>
    </w:p>
    <w:p>
      <w:pPr>
        <w:spacing w:line="560" w:lineRule="exact"/>
        <w:ind w:firstLine="480" w:firstLineChars="200"/>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0</w:t>
      </w:r>
      <w:r>
        <w:rPr>
          <w:rFonts w:hint="eastAsia" w:ascii="仿宋" w:hAnsi="仿宋" w:eastAsia="仿宋" w:cs="仿宋"/>
          <w:color w:val="auto"/>
          <w:kern w:val="0"/>
          <w:szCs w:val="24"/>
          <w:highlight w:val="none"/>
        </w:rPr>
        <w:t>、售后服务</w:t>
      </w:r>
      <w:r>
        <w:rPr>
          <w:rFonts w:hint="eastAsia" w:ascii="仿宋" w:hAnsi="仿宋" w:eastAsia="仿宋" w:cs="仿宋"/>
          <w:color w:val="auto"/>
          <w:kern w:val="0"/>
          <w:szCs w:val="24"/>
          <w:highlight w:val="none"/>
          <w:lang w:val="en-US" w:eastAsia="zh-CN"/>
        </w:rPr>
        <w:t>承诺（格式）</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4-1</w:t>
      </w:r>
      <w:r>
        <w:rPr>
          <w:rFonts w:hint="eastAsia" w:ascii="仿宋" w:hAnsi="仿宋" w:eastAsia="仿宋" w:cs="仿宋"/>
          <w:color w:val="auto"/>
          <w:kern w:val="0"/>
          <w:szCs w:val="24"/>
          <w:highlight w:val="none"/>
          <w:lang w:val="en-US" w:eastAsia="zh-CN"/>
        </w:rPr>
        <w:t>1</w:t>
      </w:r>
      <w:r>
        <w:rPr>
          <w:rFonts w:hint="eastAsia" w:ascii="仿宋" w:hAnsi="仿宋" w:eastAsia="仿宋" w:cs="仿宋"/>
          <w:color w:val="auto"/>
          <w:kern w:val="0"/>
          <w:szCs w:val="24"/>
          <w:highlight w:val="none"/>
        </w:rPr>
        <w:t>、招标文件要求的其他证明资料及投标人认为需要提供的资料。</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5、投标文件编写说明</w:t>
      </w:r>
    </w:p>
    <w:p>
      <w:pPr>
        <w:spacing w:line="560" w:lineRule="exact"/>
        <w:ind w:firstLine="480" w:firstLineChars="200"/>
        <w:rPr>
          <w:rFonts w:hint="eastAsia" w:ascii="仿宋" w:hAnsi="仿宋" w:eastAsia="仿宋" w:cs="仿宋"/>
          <w:color w:val="auto"/>
          <w:kern w:val="0"/>
          <w:szCs w:val="24"/>
          <w:highlight w:val="none"/>
          <w:lang w:eastAsia="zh-CN"/>
        </w:rPr>
      </w:pPr>
      <w:r>
        <w:rPr>
          <w:rFonts w:hint="eastAsia" w:ascii="仿宋" w:hAnsi="仿宋" w:eastAsia="仿宋" w:cs="仿宋"/>
          <w:color w:val="auto"/>
          <w:szCs w:val="24"/>
          <w:highlight w:val="none"/>
        </w:rPr>
        <w:t>5-1、投标文件</w:t>
      </w:r>
      <w:r>
        <w:rPr>
          <w:rFonts w:hint="eastAsia" w:ascii="仿宋" w:hAnsi="仿宋" w:eastAsia="仿宋" w:cs="仿宋"/>
          <w:color w:val="auto"/>
          <w:kern w:val="0"/>
          <w:szCs w:val="24"/>
          <w:highlight w:val="none"/>
        </w:rPr>
        <w:t>格式：投标文件应当按照招标文件给定的格式编制，格式之外的可自行编写</w:t>
      </w:r>
      <w:r>
        <w:rPr>
          <w:rFonts w:hint="eastAsia" w:ascii="仿宋" w:hAnsi="仿宋" w:eastAsia="仿宋" w:cs="仿宋"/>
          <w:color w:val="auto"/>
          <w:kern w:val="0"/>
          <w:szCs w:val="24"/>
          <w:highlight w:val="none"/>
          <w:lang w:eastAsia="zh-CN"/>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5-2、投标人必须按照招标文件的规定和要求使用“企业CA锁”进行签章。</w:t>
      </w:r>
    </w:p>
    <w:p>
      <w:pPr>
        <w:spacing w:line="560" w:lineRule="exact"/>
        <w:ind w:firstLine="454" w:firstLineChars="196"/>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5-</w:t>
      </w:r>
      <w:r>
        <w:rPr>
          <w:rFonts w:hint="eastAsia" w:ascii="仿宋" w:hAnsi="仿宋" w:eastAsia="仿宋" w:cs="仿宋"/>
          <w:color w:val="auto"/>
          <w:spacing w:val="-4"/>
          <w:szCs w:val="24"/>
          <w:highlight w:val="none"/>
          <w:lang w:val="en-US" w:eastAsia="zh-CN"/>
        </w:rPr>
        <w:t>3</w:t>
      </w:r>
      <w:r>
        <w:rPr>
          <w:rFonts w:hint="eastAsia" w:ascii="仿宋" w:hAnsi="仿宋" w:eastAsia="仿宋" w:cs="仿宋"/>
          <w:color w:val="auto"/>
          <w:spacing w:val="-4"/>
          <w:szCs w:val="24"/>
          <w:highlight w:val="none"/>
        </w:rPr>
        <w:t>、“开标一览表”为在开标会议上唱标的内容，按格式要求填写，同时应保证“开标一览表”在投标文件中仍有且一致。如果不一致，以唱标内容为准。</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、投标文件的计量单位</w:t>
      </w:r>
    </w:p>
    <w:p>
      <w:pPr>
        <w:spacing w:line="560" w:lineRule="exact"/>
        <w:ind w:firstLine="480" w:firstLineChars="200"/>
        <w:rPr>
          <w:rFonts w:hint="eastAsia" w:ascii="仿宋" w:hAnsi="仿宋" w:eastAsia="仿宋" w:cs="仿宋"/>
          <w:b/>
          <w:bCs/>
          <w:color w:val="auto"/>
          <w:szCs w:val="24"/>
          <w:highlight w:val="none"/>
        </w:rPr>
      </w:pPr>
      <w:r>
        <w:rPr>
          <w:rFonts w:hint="eastAsia" w:ascii="仿宋" w:hAnsi="仿宋" w:eastAsia="仿宋" w:cs="仿宋"/>
          <w:color w:val="auto"/>
          <w:szCs w:val="24"/>
          <w:highlight w:val="none"/>
        </w:rPr>
        <w:t>投标文件中所使用的计量单位，除有特殊要求外，均采用国家法定计量单位。</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bCs/>
          <w:color w:val="auto"/>
          <w:szCs w:val="24"/>
          <w:highlight w:val="none"/>
          <w:lang w:val="en-US" w:eastAsia="zh-CN"/>
        </w:rPr>
        <w:t>7</w:t>
      </w:r>
      <w:r>
        <w:rPr>
          <w:rFonts w:hint="eastAsia" w:ascii="仿宋" w:hAnsi="仿宋" w:eastAsia="仿宋" w:cs="仿宋"/>
          <w:bCs/>
          <w:color w:val="auto"/>
          <w:szCs w:val="24"/>
          <w:highlight w:val="none"/>
        </w:rPr>
        <w:t>、投标报价</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-1、投标货币：人民币      单位:元（保留小数点后两位）。</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-2、</w:t>
      </w:r>
      <w:bookmarkStart w:id="21" w:name="OLE_LINK11"/>
      <w:r>
        <w:rPr>
          <w:rFonts w:hint="eastAsia" w:ascii="仿宋" w:hAnsi="仿宋" w:eastAsia="仿宋" w:cs="仿宋"/>
          <w:color w:val="auto"/>
          <w:szCs w:val="24"/>
          <w:highlight w:val="none"/>
        </w:rPr>
        <w:t>投标报价是指完成服务内容，交付成果的所有费用，包括</w:t>
      </w:r>
      <w:r>
        <w:rPr>
          <w:rFonts w:hint="eastAsia" w:ascii="仿宋" w:hAnsi="仿宋" w:eastAsia="仿宋" w:cs="仿宋"/>
          <w:color w:val="auto"/>
          <w:szCs w:val="24"/>
          <w:highlight w:val="none"/>
          <w:lang w:val="en-US" w:eastAsia="zh-CN"/>
        </w:rPr>
        <w:t>服务费、保险费、人员费、设备费</w:t>
      </w:r>
      <w:r>
        <w:rPr>
          <w:rFonts w:hint="eastAsia" w:ascii="仿宋" w:hAnsi="仿宋" w:eastAsia="仿宋" w:cs="仿宋"/>
          <w:color w:val="auto"/>
          <w:szCs w:val="24"/>
          <w:highlight w:val="none"/>
        </w:rPr>
        <w:t>及按现行税收政策征收的一切税费等。以招标文件的内容和要求作为投标依据。投标人应按要求填写服务内容、单价及总价等内容，并由法定代表人或被授权人签署。</w:t>
      </w:r>
    </w:p>
    <w:p>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7</w:t>
      </w:r>
      <w:r>
        <w:rPr>
          <w:rFonts w:hint="eastAsia" w:ascii="仿宋" w:hAnsi="仿宋" w:eastAsia="仿宋" w:cs="仿宋"/>
          <w:b/>
          <w:color w:val="auto"/>
          <w:szCs w:val="24"/>
          <w:highlight w:val="none"/>
        </w:rPr>
        <w:t>-3、本项目为交钥匙项目，投标报价=</w:t>
      </w:r>
      <w:r>
        <w:rPr>
          <w:rFonts w:hint="eastAsia" w:ascii="仿宋" w:hAnsi="仿宋" w:eastAsia="仿宋" w:cs="仿宋"/>
          <w:b/>
          <w:color w:val="auto"/>
          <w:szCs w:val="24"/>
          <w:highlight w:val="none"/>
          <w:lang w:eastAsia="zh-CN"/>
        </w:rPr>
        <w:t>服务费+保险费+人员费+堤顶道路交通工程及附属设施维护费+采购人项目管理费+项目备用金+其他相关伴随费用</w:t>
      </w:r>
      <w:r>
        <w:rPr>
          <w:rFonts w:hint="eastAsia" w:ascii="仿宋" w:hAnsi="仿宋" w:eastAsia="仿宋" w:cs="仿宋"/>
          <w:b/>
          <w:color w:val="auto"/>
          <w:szCs w:val="24"/>
          <w:highlight w:val="none"/>
        </w:rPr>
        <w:t>。</w:t>
      </w:r>
    </w:p>
    <w:bookmarkEnd w:id="21"/>
    <w:p>
      <w:pPr>
        <w:spacing w:line="560" w:lineRule="exact"/>
        <w:ind w:firstLine="470" w:firstLineChars="196"/>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7-4、投标人须对《服务内容及技术要求》中任何货物需求和服务要求进行完整报价，采购代理机构拒绝只对部分货物和服务进行报价的投标。投标人应在投标文件中</w:t>
      </w:r>
      <w:r>
        <w:rPr>
          <w:rFonts w:hint="eastAsia" w:ascii="仿宋" w:hAnsi="仿宋" w:eastAsia="仿宋" w:cs="仿宋"/>
          <w:color w:val="auto"/>
          <w:szCs w:val="24"/>
          <w:highlight w:val="none"/>
        </w:rPr>
        <w:t>的投标报价表上标明对本次招标拟提供货物和服务的单价及总价。任何有选择的报价将不予接受，每项货物和服务只允许有一个报价，并且在合同履行过程中是固定不变的</w:t>
      </w:r>
      <w:r>
        <w:rPr>
          <w:rFonts w:hint="eastAsia" w:ascii="仿宋" w:hAnsi="仿宋" w:eastAsia="仿宋" w:cs="仿宋"/>
          <w:color w:val="auto"/>
          <w:szCs w:val="24"/>
          <w:highlight w:val="none"/>
          <w:lang w:eastAsia="zh-CN"/>
        </w:rPr>
        <w:t>。</w:t>
      </w:r>
    </w:p>
    <w:p>
      <w:pPr>
        <w:spacing w:line="560" w:lineRule="exact"/>
        <w:ind w:firstLine="470" w:firstLineChars="196"/>
        <w:rPr>
          <w:rFonts w:hint="eastAsia" w:ascii="宋体" w:hAnsi="宋体"/>
          <w:color w:val="auto"/>
          <w:sz w:val="24"/>
          <w:highlight w:val="none"/>
          <w:u w:val="none"/>
        </w:rPr>
      </w:pPr>
      <w:r>
        <w:rPr>
          <w:rFonts w:hint="eastAsia" w:ascii="仿宋" w:hAnsi="仿宋" w:eastAsia="仿宋" w:cs="仿宋"/>
          <w:color w:val="auto"/>
          <w:szCs w:val="24"/>
          <w:highlight w:val="none"/>
          <w:u w:val="none"/>
          <w:lang w:val="en-US" w:eastAsia="zh-CN"/>
        </w:rPr>
        <w:t>7-5、</w:t>
      </w:r>
      <w:r>
        <w:rPr>
          <w:rFonts w:hint="eastAsia" w:ascii="仿宋" w:hAnsi="仿宋" w:eastAsia="仿宋" w:cs="仿宋"/>
          <w:color w:val="auto"/>
          <w:sz w:val="24"/>
          <w:highlight w:val="none"/>
          <w:u w:val="none"/>
        </w:rPr>
        <w:t>不接受超过招标文件中规定的预算金额或者最高限价的报价、可变动性报价、赠送及“零”报价，</w:t>
      </w:r>
      <w:r>
        <w:rPr>
          <w:rFonts w:hint="eastAsia" w:ascii="仿宋" w:hAnsi="仿宋" w:eastAsia="仿宋" w:cs="仿宋"/>
          <w:b/>
          <w:bCs/>
          <w:color w:val="auto"/>
          <w:sz w:val="24"/>
          <w:highlight w:val="none"/>
          <w:u w:val="none"/>
        </w:rPr>
        <w:t>否则视为无效投标。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、投标人所报的投标价在合同执行过程中是固定不变的，不得以任何理由予以变更。任何包含价格调整要求的投标，将被认为是非响应性投标而予以拒绝。</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、对投标人的其他要求：</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-1、投标人不得以他人名义投标和串通投标。</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-2、必须根据招标文件要求进行生产、供货等。</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-3、非经采购人同意，不得将本项目内容进行分包实施，一经发现，立即取消其中标资格，并承担由此引起的一切经济损失；经采购人同意，中标人可以依法采取分包方式履行合同。分包部分为中标项目的部分非主体、非关键性工作。</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-4、接受采购人委托的相关单位对货物内容、质量、进度、实施方案、价款支付与结算审核等的监督和管理。</w:t>
      </w:r>
    </w:p>
    <w:p>
      <w:pPr>
        <w:spacing w:line="560" w:lineRule="exact"/>
        <w:ind w:firstLine="470" w:firstLineChars="196"/>
        <w:rPr>
          <w:rFonts w:hint="eastAsia" w:ascii="仿宋" w:hAnsi="仿宋" w:eastAsia="仿宋" w:cs="仿宋"/>
          <w:b/>
          <w:bCs/>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-5、投标人应保证在本项目使用的任何产品和服务的任何一部分，不会产生因第三方提出的侵犯其专利权、商标权、著作权或其它知识产权而引起的法律和经济纠纷，由此引起的纠纷，由投标人承担所有相关责任。</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-6、采购人享有在本项目实施过程中产生的知识成果及知识产权。投标人如欲在项目实施过程中采用自有知识成果，需在投标文件中声明，并提供相关知识产权证明文件。使用该知识成果后，投标人须提供开发接口和开发手册等技术文档，并承诺提供无限期技术支持，采购人享有永久使用权。如采用投标人所不拥有的知识产权，则在投标报价中必须包含合法获得该知识产权的相关费用。</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-7、投标人不能以“赠送”、“赠予”等任何名义提供货物和服务以规避招标文件的约束。否则，将作为无效投标处理。投标人的行为将作为以不正当手段排挤其他投标人认定。</w:t>
      </w:r>
      <w:bookmarkStart w:id="22" w:name="_Toc458617735"/>
      <w:bookmarkStart w:id="23" w:name="_Toc458617458"/>
    </w:p>
    <w:bookmarkEnd w:id="22"/>
    <w:bookmarkEnd w:id="23"/>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sz w:val="28"/>
          <w:szCs w:val="28"/>
          <w:highlight w:val="none"/>
        </w:rPr>
      </w:pPr>
      <w:bookmarkStart w:id="24" w:name="_Toc20235"/>
      <w:bookmarkStart w:id="25" w:name="_Toc458617459"/>
      <w:bookmarkStart w:id="26" w:name="_Toc458617736"/>
      <w:r>
        <w:rPr>
          <w:rFonts w:hint="eastAsia" w:ascii="仿宋" w:hAnsi="仿宋" w:eastAsia="仿宋" w:cs="仿宋"/>
          <w:color w:val="auto"/>
          <w:kern w:val="0"/>
          <w:sz w:val="28"/>
          <w:szCs w:val="28"/>
          <w:highlight w:val="none"/>
          <w:lang w:val="en-US" w:eastAsia="zh-CN"/>
        </w:rPr>
        <w:t>五</w:t>
      </w:r>
      <w:r>
        <w:rPr>
          <w:rFonts w:hint="eastAsia" w:ascii="仿宋" w:hAnsi="仿宋" w:eastAsia="仿宋" w:cs="仿宋"/>
          <w:color w:val="auto"/>
          <w:kern w:val="0"/>
          <w:sz w:val="28"/>
          <w:szCs w:val="28"/>
          <w:highlight w:val="none"/>
        </w:rPr>
        <w:t>、投标</w:t>
      </w:r>
      <w:bookmarkEnd w:id="24"/>
      <w:bookmarkEnd w:id="25"/>
      <w:bookmarkEnd w:id="26"/>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bookmarkStart w:id="27" w:name="_Toc458617737"/>
      <w:bookmarkStart w:id="28" w:name="_Toc458617460"/>
      <w:r>
        <w:rPr>
          <w:rFonts w:hint="eastAsia" w:ascii="仿宋" w:hAnsi="仿宋" w:eastAsia="仿宋" w:cs="仿宋"/>
          <w:color w:val="auto"/>
          <w:szCs w:val="24"/>
          <w:highlight w:val="none"/>
        </w:rPr>
        <w:t>1.投标文件的补充、修改与撤回：</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1.1投标截止时间之后，投标人不得补充、修改投标文件。</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1.2在投标截止时间至投标有效期满之前，投标人不得撤回其投标文件。</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2.投标有效期：</w:t>
      </w:r>
    </w:p>
    <w:p>
      <w:pPr>
        <w:pStyle w:val="36"/>
        <w:pageBreakBefore w:val="0"/>
        <w:kinsoku/>
        <w:wordWrap/>
        <w:overflowPunct/>
        <w:topLinePunct w:val="0"/>
        <w:autoSpaceDE/>
        <w:autoSpaceDN/>
        <w:bidi w:val="0"/>
        <w:adjustRightInd/>
        <w:snapToGrid/>
        <w:spacing w:line="640" w:lineRule="exact"/>
        <w:ind w:firstLine="464"/>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spacing w:val="-4"/>
          <w:sz w:val="24"/>
          <w:szCs w:val="24"/>
          <w:highlight w:val="none"/>
        </w:rPr>
        <w:t>2.1自提交投标文件的截止之日起90个日历日。</w:t>
      </w:r>
      <w:bookmarkStart w:id="29" w:name="OLE_LINK15"/>
      <w:r>
        <w:rPr>
          <w:rFonts w:hint="eastAsia" w:ascii="仿宋" w:hAnsi="仿宋" w:eastAsia="仿宋" w:cs="仿宋"/>
          <w:color w:val="auto"/>
          <w:spacing w:val="-4"/>
          <w:sz w:val="24"/>
          <w:szCs w:val="24"/>
          <w:highlight w:val="none"/>
        </w:rPr>
        <w:t>投标人投标有效期短于招标文件规定</w:t>
      </w:r>
      <w:r>
        <w:rPr>
          <w:rFonts w:hint="eastAsia" w:ascii="仿宋" w:hAnsi="仿宋" w:eastAsia="仿宋" w:cs="仿宋"/>
          <w:color w:val="auto"/>
          <w:kern w:val="2"/>
          <w:sz w:val="24"/>
          <w:szCs w:val="24"/>
          <w:highlight w:val="none"/>
        </w:rPr>
        <w:t>的投标有效期，按无效投标处理。中标单位的投标有效期延长至合同执行完毕。</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2.2在原投标有效期结束前，采购代理机构可要求投标人延长投标有效期。拒绝延长投标有效期的投标人，不得参与该项目后续采购活动。</w:t>
      </w:r>
      <w:bookmarkEnd w:id="29"/>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sz w:val="24"/>
          <w:szCs w:val="24"/>
          <w:highlight w:val="none"/>
        </w:rPr>
        <w:t>3.投标人</w:t>
      </w:r>
      <w:r>
        <w:rPr>
          <w:rFonts w:hint="eastAsia" w:ascii="仿宋" w:hAnsi="仿宋" w:eastAsia="仿宋" w:cs="仿宋"/>
          <w:color w:val="auto"/>
          <w:kern w:val="2"/>
          <w:sz w:val="24"/>
          <w:szCs w:val="24"/>
          <w:highlight w:val="none"/>
        </w:rPr>
        <w:t>有下列情形之一的，属于恶意串通，对其依照《中华人民共和国政府采购法》第七十七条第一款的规定追究法律责任，投标无效：</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3.1投标人直接或者间接从采购人或采购代理机构处获得其他投标人的相关情况并修改其投标文件；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3.2投标人按照采购人或采购代理机构的授意撤换、修改投标文件；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3.3投标人之间协商报价、技术方案等投标文件的实质性内容；</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3.4属于同一集团、协会、商会等组织成员的投标人按照该组织要求协同参加政府采购活动；</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3.5投标人之间事先约定由某一特定投标人中标；</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3.6投标人之间商定部分投标人放弃参加政府采购活动或放弃中标；</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3.7投标人相互之间，为谋求特定投标人中标或排斥其他投标人的其他串通行为。</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4.有下列情形之一的，视为投标人串通投标，其投标无效：</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4.1不同投标人的投标文件由同一单位或者个人编制；</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4.2不同投标人委托同一单位或者个人办理投标事宜；</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4.3不同投标人的投标文件载明的项目管理成员或者联系人为同一人；</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4"/>
          <w:highlight w:val="none"/>
        </w:rPr>
      </w:pPr>
      <w:r>
        <w:rPr>
          <w:rFonts w:hint="eastAsia" w:ascii="仿宋" w:hAnsi="仿宋" w:eastAsia="仿宋" w:cs="仿宋"/>
          <w:color w:val="auto"/>
          <w:kern w:val="2"/>
          <w:sz w:val="24"/>
          <w:szCs w:val="24"/>
          <w:highlight w:val="none"/>
        </w:rPr>
        <w:t>4.4不同投标人的投标文件异常一致或者投标报价呈现规律性差异；</w:t>
      </w:r>
    </w:p>
    <w:p>
      <w:pPr>
        <w:pStyle w:val="4"/>
        <w:spacing w:line="560" w:lineRule="exact"/>
        <w:rPr>
          <w:rFonts w:hint="eastAsia" w:ascii="仿宋" w:hAnsi="仿宋" w:eastAsia="仿宋" w:cs="仿宋"/>
          <w:color w:val="auto"/>
          <w:kern w:val="0"/>
          <w:sz w:val="28"/>
          <w:szCs w:val="28"/>
          <w:highlight w:val="none"/>
        </w:rPr>
      </w:pPr>
      <w:bookmarkStart w:id="30" w:name="_Toc5023"/>
      <w:r>
        <w:rPr>
          <w:rFonts w:hint="eastAsia" w:ascii="仿宋" w:hAnsi="仿宋" w:eastAsia="仿宋" w:cs="仿宋"/>
          <w:color w:val="auto"/>
          <w:kern w:val="0"/>
          <w:sz w:val="28"/>
          <w:szCs w:val="28"/>
          <w:highlight w:val="none"/>
          <w:lang w:val="en-US" w:eastAsia="zh-CN"/>
        </w:rPr>
        <w:t>六</w:t>
      </w:r>
      <w:r>
        <w:rPr>
          <w:rFonts w:hint="eastAsia" w:ascii="仿宋" w:hAnsi="仿宋" w:eastAsia="仿宋" w:cs="仿宋"/>
          <w:color w:val="auto"/>
          <w:kern w:val="0"/>
          <w:sz w:val="28"/>
          <w:szCs w:val="28"/>
          <w:highlight w:val="none"/>
        </w:rPr>
        <w:t>、开标、</w:t>
      </w:r>
      <w:r>
        <w:rPr>
          <w:rFonts w:hint="eastAsia" w:ascii="仿宋" w:hAnsi="仿宋" w:eastAsia="仿宋" w:cs="仿宋"/>
          <w:strike w:val="0"/>
          <w:dstrike w:val="0"/>
          <w:color w:val="auto"/>
          <w:kern w:val="0"/>
          <w:sz w:val="28"/>
          <w:szCs w:val="28"/>
          <w:highlight w:val="none"/>
        </w:rPr>
        <w:t>资格审查、</w:t>
      </w:r>
      <w:r>
        <w:rPr>
          <w:rFonts w:hint="eastAsia" w:ascii="仿宋" w:hAnsi="仿宋" w:eastAsia="仿宋" w:cs="仿宋"/>
          <w:color w:val="auto"/>
          <w:kern w:val="0"/>
          <w:sz w:val="28"/>
          <w:szCs w:val="28"/>
          <w:highlight w:val="none"/>
        </w:rPr>
        <w:t>评标和定标</w:t>
      </w:r>
      <w:bookmarkEnd w:id="27"/>
      <w:bookmarkEnd w:id="28"/>
      <w:bookmarkEnd w:id="30"/>
    </w:p>
    <w:p>
      <w:pPr>
        <w:keepNext w:val="0"/>
        <w:keepLines w:val="0"/>
        <w:pageBreakBefore w:val="0"/>
        <w:widowControl w:val="0"/>
        <w:kinsoku/>
        <w:wordWrap/>
        <w:overflowPunct/>
        <w:topLinePunct w:val="0"/>
        <w:autoSpaceDE/>
        <w:autoSpaceDN/>
        <w:bidi w:val="0"/>
        <w:adjustRightInd/>
        <w:snapToGrid/>
        <w:spacing w:line="640" w:lineRule="exact"/>
        <w:ind w:firstLine="482" w:firstLineChars="200"/>
        <w:textAlignment w:val="auto"/>
        <w:rPr>
          <w:rFonts w:hint="eastAsia" w:ascii="仿宋" w:hAnsi="仿宋" w:eastAsia="仿宋" w:cs="仿宋"/>
          <w:b/>
          <w:color w:val="auto"/>
          <w:szCs w:val="24"/>
          <w:highlight w:val="none"/>
        </w:rPr>
      </w:pPr>
      <w:r>
        <w:rPr>
          <w:rFonts w:hint="eastAsia" w:ascii="仿宋" w:hAnsi="仿宋" w:eastAsia="仿宋" w:cs="仿宋"/>
          <w:b/>
          <w:bCs/>
          <w:color w:val="auto"/>
          <w:szCs w:val="24"/>
          <w:highlight w:val="none"/>
        </w:rPr>
        <w:t>1.开标</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1.1所有投标人应在开标时间前登录交易平台不见面开标大厅进行在线签到并上传投标文件，开标时间到后宣布开启会开始。</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1.2介绍参加开标的</w:t>
      </w:r>
      <w:r>
        <w:rPr>
          <w:rFonts w:hint="eastAsia" w:ascii="仿宋" w:hAnsi="仿宋" w:eastAsia="仿宋" w:cs="仿宋"/>
          <w:color w:val="auto"/>
          <w:highlight w:val="none"/>
          <w:lang w:eastAsia="zh-CN"/>
        </w:rPr>
        <w:t>采购人</w:t>
      </w:r>
      <w:r>
        <w:rPr>
          <w:rFonts w:hint="eastAsia" w:ascii="仿宋" w:hAnsi="仿宋" w:eastAsia="仿宋" w:cs="仿宋"/>
          <w:color w:val="auto"/>
          <w:highlight w:val="none"/>
        </w:rPr>
        <w:t>、招标代理机构、监督管理部门等各方工作人员，并通过开标大厅宣布开标纪律。</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1.3发起解密环节，投标人按指示在规定时间内完成投标文件解密。</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1.4解密完成后，进行电声唱标，宣布各投标人报价，随后开标会结束，进入评审环节。</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宋体" w:hAnsi="宋体" w:cs="宋体"/>
          <w:bCs/>
          <w:color w:val="auto"/>
          <w:szCs w:val="24"/>
          <w:highlight w:val="none"/>
        </w:rPr>
      </w:pPr>
      <w:r>
        <w:rPr>
          <w:rFonts w:hint="eastAsia" w:ascii="仿宋" w:hAnsi="仿宋" w:eastAsia="仿宋" w:cs="仿宋"/>
          <w:color w:val="auto"/>
          <w:highlight w:val="none"/>
        </w:rPr>
        <w:t>各投标人在项目开标、评标期间应保持在线状态，对未在规定时间和要求范围内完成签到、解密、答复、确认、澄清等指令的，视为其放弃，由投标人自行承担相应后果。</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2、资格审查</w:t>
      </w:r>
    </w:p>
    <w:p>
      <w:pPr>
        <w:spacing w:line="560" w:lineRule="exact"/>
        <w:ind w:firstLine="482" w:firstLineChars="200"/>
        <w:rPr>
          <w:rFonts w:hint="eastAsia" w:ascii="仿宋" w:hAnsi="仿宋" w:eastAsia="仿宋" w:cs="仿宋"/>
          <w:b/>
          <w:bCs w:val="0"/>
          <w:color w:val="auto"/>
          <w:szCs w:val="24"/>
          <w:highlight w:val="none"/>
        </w:rPr>
      </w:pPr>
      <w:r>
        <w:rPr>
          <w:rFonts w:hint="eastAsia" w:ascii="仿宋" w:hAnsi="仿宋" w:eastAsia="仿宋" w:cs="仿宋"/>
          <w:b/>
          <w:bCs w:val="0"/>
          <w:color w:val="auto"/>
          <w:szCs w:val="24"/>
          <w:highlight w:val="none"/>
        </w:rPr>
        <w:t>开标结束后，由采购人委派资格审查小组依法对投标人的资格进行审查，审查合格的投标人方可进入评标阶段，缺项或一项不符合要求即不合格，不合格的投标人其投标无效。</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5、本项目专门面向中小企业采购；须符合《政府采购促进中小企业发展管理办法》（财库〔2020〕46号）规定的中小企业参加；(提供《中小企业声明函》，式样见投标文件格式)</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本项目不接受联合体投标。</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3-1、</w:t>
      </w:r>
      <w:r>
        <w:rPr>
          <w:rFonts w:hint="eastAsia" w:ascii="仿宋" w:hAnsi="仿宋" w:eastAsia="仿宋" w:cs="仿宋"/>
          <w:bCs/>
          <w:color w:val="auto"/>
          <w:szCs w:val="24"/>
          <w:highlight w:val="none"/>
        </w:rPr>
        <w:t>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（1）采购代理机构根据《中华人民共和国政府采购法》及其实施条例、《政府采购货物和服务招标投标管理办法》（财政部令第87号）等规定，依法组建评标委员会。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（2）采购人派代表进入评标委员会时，须向采购代理机构出具授权函。</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（3）评标委员会应推荐一名评审专家担任评审组长，并由评审组长牵头组织该项目评审工作，采购人代表不得担任评审组长。</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（4）评标委员会成员不得参加开标活动。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（5）评标委员会成员应当遵守并履行下列职责义务：</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a、遵纪守法，客观、公正、认真负责地履行职责，根据招标文件规定的评标程序、评标方法和评标标准审查投标文件；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b、符合性审查、评价投标文件是否符合招标文件的商务、技术等实质性要求；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c、要求投标人对投标文件有关事项作出澄清或者说明；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d、对投标文件进行比较和评价；</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e、确定中标候选人名单，以及根据采购人委托直接确定中标人；</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f、向采购人、采购代理机构或者有关部门报告评标中发现的违法行为；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g、对评标过程及各投标人的商业机密予以保密；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h、配合采购人、采购代理机构答复各投标人提出的质疑；</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i、配合各部门的投诉处理和监督检查工作。</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3-2、在政府采购活动中，采购人员及相关人员（包括评标委员会）与投标人有下列利害关系之一的，应当回避：</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（1）参加采购活动前3年内与投标人存在劳动关系；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（2）参加采购活动前3年内担任投标人的董事、监事；</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（3）参加采购活动前3年内是投标人的控股股东或者实际控制人；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（4）与投标人的法定代表人或者负责人有夫妻、直系血亲、三代以内旁系血亲或者近姻亲关系；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（5）与投标人有其他可能影响政府采购活动公平、公正进行的关系。</w:t>
      </w:r>
    </w:p>
    <w:p>
      <w:pPr>
        <w:spacing w:line="56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3-3、采购人、采购代理机构应当采取必要的措施，保证评标在严格保密的情况下进行。除采购人代表、评标现场组织人员外，采购人的其他工作人员以及与评标工作无关的人员不得进入评标现场。</w:t>
      </w:r>
      <w:r>
        <w:rPr>
          <w:rFonts w:hint="eastAsia" w:ascii="仿宋" w:hAnsi="仿宋" w:eastAsia="仿宋" w:cs="仿宋"/>
          <w:bCs/>
          <w:color w:val="auto"/>
          <w:szCs w:val="24"/>
          <w:highlight w:val="none"/>
        </w:rPr>
        <w:br w:type="textWrapping"/>
      </w:r>
      <w:r>
        <w:rPr>
          <w:rFonts w:hint="eastAsia" w:ascii="仿宋" w:hAnsi="仿宋" w:eastAsia="仿宋" w:cs="仿宋"/>
          <w:bCs/>
          <w:color w:val="auto"/>
          <w:szCs w:val="24"/>
          <w:highlight w:val="none"/>
          <w:lang w:val="en-US" w:eastAsia="zh-CN"/>
        </w:rPr>
        <w:t xml:space="preserve">    </w:t>
      </w:r>
      <w:r>
        <w:rPr>
          <w:rFonts w:hint="eastAsia" w:ascii="仿宋" w:hAnsi="仿宋" w:eastAsia="仿宋" w:cs="仿宋"/>
          <w:bCs/>
          <w:color w:val="auto"/>
          <w:szCs w:val="24"/>
          <w:highlight w:val="none"/>
        </w:rPr>
        <w:t>3-4、有关人员对评标情况以及在评标过程中获悉的国家秘密、商业秘密负有保密责任。</w:t>
      </w:r>
    </w:p>
    <w:p>
      <w:pPr>
        <w:spacing w:line="560" w:lineRule="exact"/>
        <w:ind w:firstLine="480" w:firstLineChars="200"/>
        <w:rPr>
          <w:rFonts w:hint="eastAsia" w:ascii="仿宋" w:hAnsi="仿宋" w:eastAsia="仿宋" w:cs="仿宋"/>
          <w:bCs/>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5</w:t>
      </w:r>
      <w:r>
        <w:rPr>
          <w:rFonts w:hint="eastAsia" w:ascii="仿宋" w:hAnsi="仿宋" w:eastAsia="仿宋" w:cs="仿宋"/>
          <w:bCs/>
          <w:color w:val="auto"/>
          <w:szCs w:val="24"/>
          <w:highlight w:val="none"/>
        </w:rPr>
        <w:t>、评标原则：</w:t>
      </w:r>
      <w:r>
        <w:rPr>
          <w:rFonts w:hint="eastAsia" w:ascii="仿宋" w:hAnsi="仿宋" w:eastAsia="仿宋" w:cs="仿宋"/>
          <w:color w:val="auto"/>
          <w:szCs w:val="24"/>
          <w:highlight w:val="none"/>
        </w:rPr>
        <w:t>坚持公平、公正、科学、择优原则，禁止不正当竞争。</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bCs/>
          <w:color w:val="auto"/>
          <w:szCs w:val="24"/>
          <w:highlight w:val="none"/>
        </w:rPr>
        <w:t>3-</w:t>
      </w:r>
      <w:r>
        <w:rPr>
          <w:rFonts w:hint="eastAsia" w:ascii="仿宋" w:hAnsi="仿宋" w:eastAsia="仿宋" w:cs="仿宋"/>
          <w:bCs/>
          <w:color w:val="auto"/>
          <w:szCs w:val="24"/>
          <w:highlight w:val="none"/>
          <w:lang w:val="en-US" w:eastAsia="zh-CN"/>
        </w:rPr>
        <w:t>6</w:t>
      </w:r>
      <w:r>
        <w:rPr>
          <w:rFonts w:hint="eastAsia" w:ascii="仿宋" w:hAnsi="仿宋" w:eastAsia="仿宋" w:cs="仿宋"/>
          <w:bCs/>
          <w:color w:val="auto"/>
          <w:szCs w:val="24"/>
          <w:highlight w:val="none"/>
        </w:rPr>
        <w:t>、评标办法</w:t>
      </w:r>
      <w:r>
        <w:rPr>
          <w:rFonts w:hint="eastAsia" w:ascii="仿宋" w:hAnsi="仿宋" w:eastAsia="仿宋" w:cs="仿宋"/>
          <w:color w:val="auto"/>
          <w:szCs w:val="24"/>
          <w:highlight w:val="none"/>
        </w:rPr>
        <w:t>：本次招标采用综合评分法（详见本节评分标准）。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7</w:t>
      </w:r>
      <w:r>
        <w:rPr>
          <w:rFonts w:hint="eastAsia" w:ascii="仿宋" w:hAnsi="仿宋" w:eastAsia="仿宋" w:cs="仿宋"/>
          <w:b/>
          <w:color w:val="auto"/>
          <w:szCs w:val="24"/>
          <w:highlight w:val="none"/>
        </w:rPr>
        <w:t>、评标工作程序：</w:t>
      </w:r>
      <w:r>
        <w:rPr>
          <w:rFonts w:hint="eastAsia" w:ascii="仿宋" w:hAnsi="仿宋" w:eastAsia="仿宋" w:cs="仿宋"/>
          <w:color w:val="auto"/>
          <w:szCs w:val="24"/>
          <w:highlight w:val="none"/>
        </w:rPr>
        <w:t>符合性审查、澄清、评价、推荐中标候选人的工作程序进行评标。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-1、投标文件符合性审查</w:t>
      </w:r>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依据招标文件的规定，对资格合格者投标文件的完整性、有效性和对招标文件的响应程度进行审查，以确定是否对招标文件的实质性内容做出响应，包含但不限于以下内容，未通过审查的按无效投标处理：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（1）投标人名称与登记领取招标文件的单位名称不一致；</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）投标文件</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按照招标文件的要求盖章签字；</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）针对同一项目提交两份或多份内容不同的投标文件，未书面声明哪一份是有效的或出现选择性报价的；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 xml:space="preserve">）投标报价超过采购预算；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）投标有效期</w:t>
      </w:r>
      <w:r>
        <w:rPr>
          <w:rFonts w:hint="eastAsia" w:ascii="仿宋" w:hAnsi="仿宋" w:eastAsia="仿宋" w:cs="仿宋"/>
          <w:color w:val="auto"/>
          <w:szCs w:val="24"/>
          <w:highlight w:val="none"/>
          <w:lang w:eastAsia="zh-CN"/>
        </w:rPr>
        <w:t>不</w:t>
      </w:r>
      <w:r>
        <w:rPr>
          <w:rFonts w:hint="eastAsia" w:ascii="仿宋" w:hAnsi="仿宋" w:eastAsia="仿宋" w:cs="仿宋"/>
          <w:color w:val="auto"/>
          <w:szCs w:val="24"/>
          <w:highlight w:val="none"/>
        </w:rPr>
        <w:t>符合招标文件的要求；</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未</w:t>
      </w:r>
      <w:r>
        <w:rPr>
          <w:rFonts w:hint="eastAsia" w:ascii="仿宋" w:hAnsi="仿宋" w:eastAsia="仿宋" w:cs="仿宋"/>
          <w:color w:val="auto"/>
          <w:szCs w:val="24"/>
          <w:highlight w:val="none"/>
        </w:rPr>
        <w:t>对招标文件商务要求作</w:t>
      </w:r>
      <w:r>
        <w:rPr>
          <w:rFonts w:hint="eastAsia" w:ascii="仿宋" w:hAnsi="仿宋" w:eastAsia="仿宋" w:cs="仿宋"/>
          <w:color w:val="auto"/>
          <w:szCs w:val="24"/>
          <w:highlight w:val="none"/>
          <w:lang w:eastAsia="zh-CN"/>
        </w:rPr>
        <w:t>出</w:t>
      </w:r>
      <w:r>
        <w:rPr>
          <w:rFonts w:hint="eastAsia" w:ascii="仿宋" w:hAnsi="仿宋" w:eastAsia="仿宋" w:cs="仿宋"/>
          <w:color w:val="auto"/>
          <w:szCs w:val="24"/>
          <w:highlight w:val="none"/>
        </w:rPr>
        <w:t>明确且实质性响应；</w:t>
      </w:r>
    </w:p>
    <w:p>
      <w:pPr>
        <w:spacing w:line="560" w:lineRule="exact"/>
        <w:ind w:firstLine="480" w:firstLineChars="2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lang w:eastAsia="zh-CN"/>
        </w:rPr>
        <w:t>）投标文件含有采购人不能接受的附加条件。</w:t>
      </w:r>
    </w:p>
    <w:p>
      <w:pPr>
        <w:spacing w:line="560" w:lineRule="exact"/>
        <w:ind w:firstLine="480" w:firstLineChars="2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lang w:eastAsia="zh-CN"/>
        </w:rPr>
        <w:t>）法律、法规和招标文件规定的其他无效投标情形。</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 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-2、投标文件的澄清：</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 xml:space="preserve"> （1）在评标期间,对于投标文件中含义不明确、同类问题表述不一致或者有明显文字和计算错误的内容，评标委员会应当以书面形式要求投标人作出必要的澄清、说明或者补正。投标人的澄清、说明或者补正应当采用书面形式，并加盖公章，或者由法定代表人或被授权人签字。投标人的澄清、说明或者补正不得超出投标文件的范围或者改变投标文件的实质性内容。</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（2）书写错误的评审标准：</w:t>
      </w:r>
    </w:p>
    <w:p>
      <w:pPr>
        <w:overflowPunct w:val="0"/>
        <w:adjustRightInd w:val="0"/>
        <w:snapToGrid w:val="0"/>
        <w:spacing w:line="560" w:lineRule="exact"/>
        <w:ind w:firstLine="720" w:firstLineChars="300"/>
        <w:rPr>
          <w:rFonts w:hint="eastAsia" w:ascii="仿宋" w:hAnsi="仿宋" w:eastAsia="仿宋" w:cs="仿宋"/>
          <w:color w:val="auto"/>
          <w:highlight w:val="none"/>
        </w:rPr>
      </w:pPr>
      <w:r>
        <w:rPr>
          <w:rFonts w:hint="eastAsia" w:ascii="仿宋" w:hAnsi="仿宋" w:eastAsia="仿宋" w:cs="仿宋"/>
          <w:color w:val="auto"/>
          <w:highlight w:val="none"/>
        </w:rPr>
        <w:t>评标委员会在评标过程中，发现投标文件出现下列情况之一者，按以下原则修正：</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w:t>
      </w:r>
      <w:r>
        <w:rPr>
          <w:rFonts w:hint="eastAsia" w:ascii="仿宋" w:hAnsi="仿宋" w:eastAsia="仿宋" w:cs="仿宋"/>
          <w:color w:val="auto"/>
          <w:szCs w:val="24"/>
          <w:highlight w:val="none"/>
        </w:rPr>
        <w:t>投标文件有关内容与“开标一览表”不一致的，以“开标一览表”为准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b、</w:t>
      </w:r>
      <w:r>
        <w:rPr>
          <w:rFonts w:hint="eastAsia" w:ascii="仿宋" w:hAnsi="仿宋" w:eastAsia="仿宋" w:cs="仿宋"/>
          <w:color w:val="auto"/>
          <w:szCs w:val="24"/>
          <w:highlight w:val="none"/>
        </w:rPr>
        <w:t>大写金额与小写金额不一致的，以大写金额为准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c、单价金额小数点或者百分比有明显错位的，以“</w:t>
      </w:r>
      <w:r>
        <w:rPr>
          <w:rFonts w:hint="eastAsia" w:ascii="仿宋" w:hAnsi="仿宋" w:eastAsia="仿宋" w:cs="仿宋"/>
          <w:color w:val="auto"/>
          <w:szCs w:val="24"/>
          <w:highlight w:val="none"/>
        </w:rPr>
        <w:t>开标一览表</w:t>
      </w:r>
      <w:r>
        <w:rPr>
          <w:rFonts w:hint="eastAsia" w:ascii="仿宋" w:hAnsi="仿宋" w:eastAsia="仿宋" w:cs="仿宋"/>
          <w:color w:val="auto"/>
          <w:highlight w:val="none"/>
        </w:rPr>
        <w:t>”的总价为准，并修改单价；</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d、总价金额与按</w:t>
      </w:r>
      <w:r>
        <w:rPr>
          <w:rFonts w:hint="eastAsia" w:ascii="仿宋" w:hAnsi="仿宋" w:eastAsia="仿宋" w:cs="仿宋"/>
          <w:color w:val="auto"/>
          <w:szCs w:val="24"/>
          <w:highlight w:val="none"/>
        </w:rPr>
        <w:t>单价汇总金额不一致的，以单价乘以数量的计算结果为准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e、</w:t>
      </w:r>
      <w:r>
        <w:rPr>
          <w:rFonts w:hint="eastAsia" w:ascii="仿宋" w:hAnsi="仿宋" w:eastAsia="仿宋" w:cs="仿宋"/>
          <w:color w:val="auto"/>
          <w:szCs w:val="24"/>
          <w:highlight w:val="none"/>
        </w:rPr>
        <w:t>投标文件图表与文字不符时，以文字为准</w:t>
      </w:r>
      <w:r>
        <w:rPr>
          <w:rFonts w:hint="eastAsia" w:ascii="仿宋" w:hAnsi="仿宋" w:eastAsia="仿宋" w:cs="仿宋"/>
          <w:color w:val="auto"/>
          <w:highlight w:val="none"/>
        </w:rPr>
        <w:t>；</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f、投标文件正本与副本不符时，以正本为准；</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g、对不同文字文本投标文件的解释发生异议的，以中文文本为准；</w:t>
      </w:r>
    </w:p>
    <w:p>
      <w:pPr>
        <w:overflowPunct w:val="0"/>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h、</w:t>
      </w:r>
      <w:r>
        <w:rPr>
          <w:rFonts w:hint="eastAsia" w:ascii="仿宋" w:hAnsi="仿宋" w:eastAsia="仿宋" w:cs="仿宋"/>
          <w:color w:val="auto"/>
          <w:szCs w:val="24"/>
          <w:highlight w:val="none"/>
        </w:rPr>
        <w:t>多处内容交叉不符时，以评标委员会评审结果为准。</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注：按上述方法修正的内容（其中，同时出现上述a至d两种以上不一致的，按上述规定的顺序修正），经投标人确认后产生约束力，投标人不确认的，其投标无效。</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-3、评价：</w:t>
      </w:r>
    </w:p>
    <w:p>
      <w:pPr>
        <w:spacing w:line="560" w:lineRule="exact"/>
        <w:ind w:firstLine="465"/>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（1）评标委员会评审投标文件符合性只根据投标文件本身的内容，而不寻求其他外部证据。</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szCs w:val="24"/>
          <w:highlight w:val="none"/>
        </w:rPr>
        <w:t>（2）</w:t>
      </w:r>
      <w:r>
        <w:rPr>
          <w:rFonts w:hint="eastAsia" w:ascii="仿宋" w:hAnsi="仿宋" w:eastAsia="仿宋" w:cs="仿宋"/>
          <w:color w:val="auto"/>
          <w:highlight w:val="none"/>
        </w:rPr>
        <w:t>评标采取逐项分步评审方式，每一步评审不符合者，不进入下一步评审，全部评审合格的投标人进行最后的综合评审和打分，按最后得分由高向低排序，推荐中标候选人。</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（3）其他需说明的情况：</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a、对于投标文件中不构成实质性偏差的小的不正规、不一致或不规则，采购人可以接受，但这种接受不能损害或影响任何投标人的相对排序；</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highlight w:val="none"/>
        </w:rPr>
        <w:t>b、最低报价不是中标的唯一条件；</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c、如果投标实质上没有响应招标文件的要求，其投标将被拒绝，投标人不得通过修正或撤消不合要求的偏离或保留从而使其投标成为实质上响应的投标。</w:t>
      </w:r>
    </w:p>
    <w:p>
      <w:pPr>
        <w:overflowPunct w:val="0"/>
        <w:adjustRightInd w:val="0"/>
        <w:snapToGrid w:val="0"/>
        <w:spacing w:line="560" w:lineRule="exact"/>
        <w:ind w:firstLine="480" w:firstLineChars="200"/>
        <w:rPr>
          <w:rFonts w:hint="eastAsia" w:ascii="仿宋" w:hAnsi="仿宋" w:eastAsia="仿宋" w:cs="仿宋"/>
          <w:color w:val="auto"/>
          <w:highlight w:val="none"/>
        </w:rPr>
      </w:pPr>
      <w:r>
        <w:rPr>
          <w:rFonts w:hint="eastAsia" w:ascii="仿宋" w:hAnsi="仿宋" w:eastAsia="仿宋" w:cs="仿宋"/>
          <w:color w:val="auto"/>
          <w:highlight w:val="none"/>
        </w:rPr>
        <w:t>d、</w:t>
      </w:r>
      <w:r>
        <w:rPr>
          <w:rFonts w:hint="eastAsia" w:ascii="仿宋" w:hAnsi="仿宋" w:eastAsia="仿宋" w:cs="仿宋"/>
          <w:color w:val="auto"/>
          <w:szCs w:val="24"/>
          <w:highlight w:val="none"/>
        </w:rPr>
        <w:t>无论投标的结果如何，投标期间一切费用自理。</w:t>
      </w:r>
    </w:p>
    <w:p>
      <w:pPr>
        <w:pageBreakBefore w:val="0"/>
        <w:bidi w:val="0"/>
        <w:spacing w:line="560" w:lineRule="exact"/>
        <w:ind w:firstLine="600" w:firstLineChars="249"/>
        <w:textAlignment w:val="auto"/>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3-</w:t>
      </w:r>
      <w:r>
        <w:rPr>
          <w:rFonts w:hint="eastAsia" w:ascii="仿宋" w:hAnsi="仿宋" w:eastAsia="仿宋" w:cs="仿宋"/>
          <w:b/>
          <w:color w:val="auto"/>
          <w:szCs w:val="24"/>
          <w:highlight w:val="none"/>
          <w:lang w:val="en-US" w:eastAsia="zh-CN"/>
        </w:rPr>
        <w:t>8</w:t>
      </w:r>
      <w:r>
        <w:rPr>
          <w:rFonts w:hint="eastAsia" w:ascii="仿宋" w:hAnsi="仿宋" w:eastAsia="仿宋" w:cs="仿宋"/>
          <w:b/>
          <w:color w:val="auto"/>
          <w:szCs w:val="24"/>
          <w:highlight w:val="none"/>
        </w:rPr>
        <w:t>、评分标准：</w:t>
      </w:r>
    </w:p>
    <w:tbl>
      <w:tblPr>
        <w:tblStyle w:val="22"/>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774"/>
        <w:gridCol w:w="7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ind w:right="-108" w:rightChars="-45"/>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t>报价</w:t>
            </w:r>
          </w:p>
        </w:tc>
        <w:tc>
          <w:tcPr>
            <w:tcW w:w="774" w:type="dxa"/>
            <w:noWrap w:val="0"/>
            <w:vAlign w:val="center"/>
          </w:tcPr>
          <w:p>
            <w:pPr>
              <w:spacing w:line="560" w:lineRule="exact"/>
              <w:ind w:left="-134" w:leftChars="-56" w:right="-108" w:rightChars="-45"/>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分</w:t>
            </w:r>
          </w:p>
        </w:tc>
        <w:tc>
          <w:tcPr>
            <w:tcW w:w="7186" w:type="dxa"/>
            <w:noWrap w:val="0"/>
            <w:vAlign w:val="center"/>
          </w:tcPr>
          <w:p>
            <w:pPr>
              <w:widowControl/>
              <w:spacing w:line="560" w:lineRule="exact"/>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综合评分法中的价格分统一采用低价优先法计算，即满足</w:t>
            </w:r>
            <w:r>
              <w:rPr>
                <w:rFonts w:hint="eastAsia" w:ascii="仿宋" w:hAnsi="仿宋" w:eastAsia="仿宋" w:cs="仿宋"/>
                <w:color w:val="auto"/>
                <w:szCs w:val="24"/>
                <w:highlight w:val="none"/>
                <w:lang w:val="en-US" w:eastAsia="zh-CN"/>
              </w:rPr>
              <w:t>招标</w:t>
            </w:r>
            <w:bookmarkStart w:id="198" w:name="_GoBack"/>
            <w:bookmarkEnd w:id="198"/>
            <w:r>
              <w:rPr>
                <w:rFonts w:hint="eastAsia" w:ascii="仿宋" w:hAnsi="仿宋" w:eastAsia="仿宋" w:cs="仿宋"/>
                <w:color w:val="auto"/>
                <w:szCs w:val="24"/>
                <w:highlight w:val="none"/>
              </w:rPr>
              <w:t>文件要求且</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价格最低的</w:t>
            </w:r>
            <w:r>
              <w:rPr>
                <w:rFonts w:hint="eastAsia" w:ascii="仿宋" w:hAnsi="仿宋" w:eastAsia="仿宋" w:cs="仿宋"/>
                <w:color w:val="auto"/>
                <w:szCs w:val="24"/>
                <w:highlight w:val="none"/>
                <w:lang w:eastAsia="zh-CN"/>
              </w:rPr>
              <w:t>投标</w:t>
            </w:r>
            <w:r>
              <w:rPr>
                <w:rFonts w:hint="eastAsia" w:ascii="仿宋" w:hAnsi="仿宋" w:eastAsia="仿宋" w:cs="仿宋"/>
                <w:color w:val="auto"/>
                <w:szCs w:val="24"/>
                <w:highlight w:val="none"/>
              </w:rPr>
              <w:t>报价为评标基准价，其价格分为满分。其他</w:t>
            </w:r>
            <w:r>
              <w:rPr>
                <w:rFonts w:hint="eastAsia" w:ascii="仿宋" w:hAnsi="仿宋" w:eastAsia="仿宋" w:cs="仿宋"/>
                <w:color w:val="auto"/>
                <w:szCs w:val="24"/>
                <w:highlight w:val="none"/>
                <w:lang w:eastAsia="zh-CN"/>
              </w:rPr>
              <w:t>投标人</w:t>
            </w:r>
            <w:r>
              <w:rPr>
                <w:rFonts w:hint="eastAsia" w:ascii="仿宋" w:hAnsi="仿宋" w:eastAsia="仿宋" w:cs="仿宋"/>
                <w:color w:val="auto"/>
                <w:szCs w:val="24"/>
                <w:highlight w:val="none"/>
              </w:rPr>
              <w:t>的价格分统一按照下列公式计算：</w:t>
            </w:r>
          </w:p>
          <w:p>
            <w:pPr>
              <w:widowControl/>
              <w:spacing w:line="560" w:lineRule="exact"/>
              <w:jc w:val="lef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投标报价得分=（评标基准价/投标报价）×价格权值×100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eastAsia="zh-CN"/>
              </w:rPr>
              <w:t>服务</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lang w:eastAsia="zh-CN"/>
              </w:rPr>
              <w:t>方案</w:t>
            </w:r>
          </w:p>
        </w:tc>
        <w:tc>
          <w:tcPr>
            <w:tcW w:w="774"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50分</w:t>
            </w:r>
          </w:p>
        </w:tc>
        <w:tc>
          <w:tcPr>
            <w:tcW w:w="7186" w:type="dxa"/>
            <w:noWrap w:val="0"/>
            <w:vAlign w:val="top"/>
          </w:tcPr>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提供详细的维修养护方案：方案具有针对性、可靠性等，思路清晰合理，有明确的工作程序，能响应招标文件服务要求，方案内容完整条理清晰、合理，先进成熟且逐条详细说明的得（7-10]分；方案内容清晰完整，条理一般，但逐条详细说明的得（4-7]分；方案内容不完整，条理差，但逐条说明的得[</w:t>
            </w:r>
            <w:r>
              <w:rPr>
                <w:rFonts w:hint="eastAsia" w:ascii="仿宋" w:hAnsi="仿宋" w:eastAsia="仿宋" w:cs="仿宋"/>
                <w:color w:val="auto"/>
                <w:sz w:val="24"/>
                <w:highlight w:val="none"/>
                <w:lang w:val="zh-CN"/>
              </w:rPr>
              <w:t>1-</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Cs w:val="24"/>
                <w:highlight w:val="none"/>
                <w:lang w:val="en-US" w:eastAsia="zh-CN"/>
              </w:rPr>
              <w:t>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提供项目实施进度计划：项目实施进度计划充分满足服务期限，计划合理、可操作性强，保证进度措施得力的得（7-8]分；项目实施进度计划基本满足服务期限，可操作性一般，保证进度措施一般的得（4-7]分；项目实施进度计划不完善，可操作性较差，保证进度措施较差的得[</w:t>
            </w:r>
            <w:r>
              <w:rPr>
                <w:rFonts w:hint="eastAsia" w:ascii="仿宋" w:hAnsi="仿宋" w:eastAsia="仿宋" w:cs="仿宋"/>
                <w:color w:val="auto"/>
                <w:sz w:val="24"/>
                <w:highlight w:val="none"/>
                <w:lang w:val="zh-CN"/>
              </w:rPr>
              <w:t>1-</w:t>
            </w:r>
            <w:r>
              <w:rPr>
                <w:rFonts w:hint="eastAsia" w:ascii="仿宋" w:hAnsi="仿宋" w:eastAsia="仿宋" w:cs="仿宋"/>
                <w:color w:val="auto"/>
                <w:sz w:val="24"/>
                <w:highlight w:val="none"/>
              </w:rPr>
              <w:t>4</w:t>
            </w:r>
            <w:r>
              <w:rPr>
                <w:rFonts w:hint="eastAsia" w:ascii="仿宋" w:hAnsi="仿宋" w:eastAsia="仿宋" w:cs="仿宋"/>
                <w:color w:val="auto"/>
                <w:sz w:val="24"/>
                <w:highlight w:val="none"/>
                <w:lang w:val="en-US" w:eastAsia="zh-CN"/>
              </w:rPr>
              <w:t>]</w:t>
            </w:r>
            <w:r>
              <w:rPr>
                <w:rFonts w:hint="eastAsia" w:ascii="仿宋" w:hAnsi="仿宋" w:eastAsia="仿宋" w:cs="仿宋"/>
                <w:color w:val="auto"/>
                <w:szCs w:val="24"/>
                <w:highlight w:val="none"/>
                <w:lang w:val="en-US" w:eastAsia="zh-CN"/>
              </w:rPr>
              <w:t>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3、提供文明施工、环境保护管理措施：文明施工、环境保障措施合理、完善得（7-8]分；文明施工、环境保障措施基本合理、比较完善得（4-7]分；文明施工、环境保障措施一般得[1-4]分；未提供不得分。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4、提供所投入的主要机具、设备配备情况：施工器具配置合理、完善得（7-8]分；施工器具配置基本合理、比较完善得（4-7]分；施工器具配置一般得[1-4]分；未提供不得分。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5、提供消防安全保障方案及应急措施：保障方案、措施合理、完善得（7-8]分；保障方案、措施基本合理、比较完善得（4-7]分；保障方案、措施一般得[1-4]分；未提供不得分。</w:t>
            </w:r>
          </w:p>
          <w:p>
            <w:pPr>
              <w:widowControl/>
              <w:numPr>
                <w:ilvl w:val="0"/>
                <w:numId w:val="0"/>
              </w:numPr>
              <w:spacing w:line="560" w:lineRule="exact"/>
              <w:jc w:val="lef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6、提供项目重点、难点分析及对应保障措施：保障措施合理、完善得（7-8]分；保障措施基本合理、比较完善得（4-7]分；保障措施一般得[1-4]分；未提供不得分。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val="en-US" w:eastAsia="zh-CN"/>
              </w:rPr>
              <w:t>人员配备</w:t>
            </w:r>
          </w:p>
        </w:tc>
        <w:tc>
          <w:tcPr>
            <w:tcW w:w="774" w:type="dxa"/>
            <w:noWrap w:val="0"/>
            <w:vAlign w:val="center"/>
          </w:tcPr>
          <w:p>
            <w:pPr>
              <w:spacing w:line="560" w:lineRule="exact"/>
              <w:jc w:val="center"/>
              <w:rPr>
                <w:rFonts w:hint="default"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15分</w:t>
            </w:r>
          </w:p>
        </w:tc>
        <w:tc>
          <w:tcPr>
            <w:tcW w:w="7186" w:type="dxa"/>
            <w:noWrap w:val="0"/>
            <w:vAlign w:val="top"/>
          </w:tcPr>
          <w:p>
            <w:pPr>
              <w:keepNext w:val="0"/>
              <w:keepLines w:val="0"/>
              <w:pageBreakBefore w:val="0"/>
              <w:widowControl/>
              <w:numPr>
                <w:ilvl w:val="0"/>
                <w:numId w:val="0"/>
              </w:numPr>
              <w:kinsoku/>
              <w:wordWrap w:val="0"/>
              <w:overflowPunct/>
              <w:topLinePunct/>
              <w:autoSpaceDE/>
              <w:autoSpaceDN/>
              <w:bidi w:val="0"/>
              <w:adjustRightInd/>
              <w:snapToGrid/>
              <w:spacing w:line="560" w:lineRule="exact"/>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项目组织管理团队和劳动力团队健全,分工明确，岗位责任制强，项目负责人管理经验丰富能力高，能全面高效地完成本项目的得（10-15]分；有组织管理团队，劳动力基本满足项目工作需要，基本有能力完成项目得（5-10]分；人员配备部分满足项目工作需要、岗位分工部分明确得[1-5]分；未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eastAsia="zh-CN"/>
              </w:rPr>
            </w:pPr>
            <w:r>
              <w:rPr>
                <w:rFonts w:hint="eastAsia" w:ascii="仿宋" w:hAnsi="仿宋" w:eastAsia="仿宋" w:cs="仿宋"/>
                <w:color w:val="auto"/>
                <w:kern w:val="0"/>
                <w:szCs w:val="24"/>
                <w:highlight w:val="none"/>
                <w:lang w:val="en-US" w:eastAsia="zh-CN"/>
              </w:rPr>
              <w:t>业绩</w:t>
            </w:r>
          </w:p>
        </w:tc>
        <w:tc>
          <w:tcPr>
            <w:tcW w:w="774"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4分</w:t>
            </w:r>
          </w:p>
        </w:tc>
        <w:tc>
          <w:tcPr>
            <w:tcW w:w="7186" w:type="dxa"/>
            <w:noWrap w:val="0"/>
            <w:vAlign w:val="top"/>
          </w:tcPr>
          <w:p>
            <w:pPr>
              <w:widowControl/>
              <w:spacing w:line="48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以合同</w:t>
            </w:r>
            <w:r>
              <w:rPr>
                <w:rFonts w:hint="eastAsia" w:ascii="仿宋" w:hAnsi="仿宋" w:eastAsia="仿宋" w:cs="仿宋"/>
                <w:color w:val="auto"/>
                <w:szCs w:val="24"/>
                <w:highlight w:val="none"/>
                <w:lang w:eastAsia="zh-CN"/>
              </w:rPr>
              <w:t>复印件</w:t>
            </w:r>
            <w:r>
              <w:rPr>
                <w:rFonts w:hint="eastAsia" w:ascii="仿宋" w:hAnsi="仿宋" w:eastAsia="仿宋" w:cs="仿宋"/>
                <w:color w:val="auto"/>
                <w:szCs w:val="24"/>
                <w:highlight w:val="none"/>
              </w:rPr>
              <w:t>形式提供</w:t>
            </w:r>
            <w:r>
              <w:rPr>
                <w:rFonts w:hint="eastAsia" w:ascii="仿宋" w:hAnsi="仿宋" w:eastAsia="仿宋" w:cs="仿宋"/>
                <w:color w:val="auto"/>
                <w:szCs w:val="24"/>
                <w:highlight w:val="none"/>
                <w:lang w:val="en-US" w:eastAsia="zh-CN"/>
              </w:rPr>
              <w:t>2020年1月1日至今类似项目业绩</w:t>
            </w:r>
            <w:r>
              <w:rPr>
                <w:rFonts w:hint="eastAsia" w:ascii="仿宋" w:hAnsi="仿宋" w:eastAsia="仿宋" w:cs="仿宋"/>
                <w:color w:val="auto"/>
                <w:szCs w:val="24"/>
                <w:highlight w:val="none"/>
              </w:rPr>
              <w:t>，每份计</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分，计满</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分为止；</w:t>
            </w:r>
          </w:p>
          <w:p>
            <w:pPr>
              <w:spacing w:line="560" w:lineRule="exact"/>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注：</w:t>
            </w:r>
            <w:r>
              <w:rPr>
                <w:rFonts w:hint="eastAsia" w:ascii="仿宋" w:hAnsi="仿宋" w:eastAsia="仿宋" w:cs="仿宋"/>
                <w:color w:val="auto"/>
                <w:szCs w:val="24"/>
                <w:highlight w:val="none"/>
                <w:lang w:val="en-US" w:eastAsia="zh-CN"/>
              </w:rPr>
              <w:t>投标人</w:t>
            </w:r>
            <w:r>
              <w:rPr>
                <w:rFonts w:hint="eastAsia" w:ascii="仿宋" w:hAnsi="仿宋" w:eastAsia="仿宋" w:cs="仿宋"/>
                <w:color w:val="auto"/>
                <w:szCs w:val="24"/>
                <w:highlight w:val="none"/>
              </w:rPr>
              <w:t>需提供</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合同（含首页、</w:t>
            </w:r>
            <w:r>
              <w:rPr>
                <w:rFonts w:hint="eastAsia" w:ascii="仿宋" w:hAnsi="仿宋" w:eastAsia="仿宋" w:cs="仿宋"/>
                <w:color w:val="auto"/>
                <w:szCs w:val="24"/>
                <w:highlight w:val="none"/>
                <w:lang w:val="en-US" w:eastAsia="zh-CN"/>
              </w:rPr>
              <w:t>服务内容</w:t>
            </w:r>
            <w:r>
              <w:rPr>
                <w:rFonts w:hint="eastAsia" w:ascii="仿宋" w:hAnsi="仿宋" w:eastAsia="仿宋" w:cs="仿宋"/>
                <w:color w:val="auto"/>
                <w:szCs w:val="24"/>
                <w:highlight w:val="none"/>
              </w:rPr>
              <w:t>、签字盖章页）复印件，否则业绩不予认可。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093" w:type="dxa"/>
            <w:noWrap w:val="0"/>
            <w:vAlign w:val="center"/>
          </w:tcPr>
          <w:p>
            <w:pPr>
              <w:spacing w:line="560" w:lineRule="exact"/>
              <w:jc w:val="center"/>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售后服务</w:t>
            </w:r>
          </w:p>
        </w:tc>
        <w:tc>
          <w:tcPr>
            <w:tcW w:w="774" w:type="dxa"/>
            <w:noWrap w:val="0"/>
            <w:vAlign w:val="center"/>
          </w:tcPr>
          <w:p>
            <w:pPr>
              <w:spacing w:line="560" w:lineRule="exact"/>
              <w:jc w:val="cente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lang w:val="en-US" w:eastAsia="zh-CN"/>
              </w:rPr>
              <w:t>11</w:t>
            </w:r>
            <w:r>
              <w:rPr>
                <w:rFonts w:hint="eastAsia" w:ascii="仿宋" w:hAnsi="仿宋" w:eastAsia="仿宋" w:cs="仿宋"/>
                <w:color w:val="auto"/>
                <w:kern w:val="0"/>
                <w:szCs w:val="24"/>
                <w:highlight w:val="none"/>
              </w:rPr>
              <w:t>分</w:t>
            </w:r>
          </w:p>
        </w:tc>
        <w:tc>
          <w:tcPr>
            <w:tcW w:w="7186" w:type="dxa"/>
            <w:noWrap w:val="0"/>
            <w:vAlign w:val="center"/>
          </w:tcPr>
          <w:p>
            <w:pPr>
              <w:spacing w:line="560" w:lineRule="exac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zh-CN"/>
              </w:rPr>
              <w:t>提供针对本项目的售后服务承诺方案：承诺内容全面，实际可行性较高计（4-5</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分，承诺内容比较全面，有一定的可行性的计（2-4</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分；承诺内容较为简洁，可行性较低计</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1-2</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lang w:val="zh-CN"/>
              </w:rPr>
              <w:t>分；</w:t>
            </w:r>
            <w:r>
              <w:rPr>
                <w:rFonts w:hint="eastAsia" w:ascii="仿宋" w:hAnsi="仿宋" w:eastAsia="仿宋" w:cs="仿宋"/>
                <w:color w:val="auto"/>
                <w:szCs w:val="24"/>
                <w:highlight w:val="none"/>
                <w:lang w:val="en-US" w:eastAsia="zh-CN"/>
              </w:rPr>
              <w:t>未提供不计分</w:t>
            </w:r>
            <w:r>
              <w:rPr>
                <w:rFonts w:hint="eastAsia" w:ascii="仿宋" w:hAnsi="仿宋" w:eastAsia="仿宋" w:cs="仿宋"/>
                <w:color w:val="auto"/>
                <w:szCs w:val="24"/>
                <w:highlight w:val="none"/>
                <w:lang w:val="zh-CN"/>
              </w:rPr>
              <w:t>。</w:t>
            </w:r>
          </w:p>
          <w:p>
            <w:pPr>
              <w:spacing w:line="560" w:lineRule="exact"/>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rPr>
              <w:t>2、</w:t>
            </w:r>
            <w:r>
              <w:rPr>
                <w:rFonts w:hint="eastAsia" w:ascii="仿宋" w:hAnsi="仿宋" w:eastAsia="仿宋" w:cs="仿宋"/>
                <w:color w:val="auto"/>
                <w:szCs w:val="24"/>
                <w:highlight w:val="none"/>
                <w:lang w:val="zh-CN"/>
              </w:rPr>
              <w:t>根据供应商针对人员进行有关法律法规知识、安全知识和专业技能培训方案计</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lang w:val="zh-CN"/>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lang w:val="zh-CN"/>
              </w:rPr>
              <w:t>分。</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3、投标人</w:t>
            </w:r>
            <w:r>
              <w:rPr>
                <w:rFonts w:hint="eastAsia" w:ascii="仿宋" w:hAnsi="仿宋" w:eastAsia="仿宋" w:cs="仿宋"/>
                <w:color w:val="auto"/>
                <w:szCs w:val="24"/>
                <w:highlight w:val="none"/>
                <w:lang w:val="en-US" w:eastAsia="zh-CN"/>
              </w:rPr>
              <w:t>提供</w:t>
            </w:r>
            <w:r>
              <w:rPr>
                <w:rFonts w:hint="eastAsia" w:ascii="仿宋" w:hAnsi="仿宋" w:eastAsia="仿宋" w:cs="仿宋"/>
                <w:color w:val="auto"/>
                <w:szCs w:val="24"/>
                <w:highlight w:val="none"/>
              </w:rPr>
              <w:t>详细的项目安全施工措施及安全承诺，并提供不拖欠农民工工资承诺书，根据情况计</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分。</w:t>
            </w:r>
          </w:p>
        </w:tc>
      </w:tr>
    </w:tbl>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注：1）评委打分超过得分界限或未按本方法赋分时，该评委的打分按废票处理。</w:t>
      </w:r>
    </w:p>
    <w:p>
      <w:pPr>
        <w:numPr>
          <w:ilvl w:val="0"/>
          <w:numId w:val="4"/>
        </w:num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各种计算数字均保留两位小数，第三位“四舍五入”。 </w:t>
      </w:r>
    </w:p>
    <w:p>
      <w:pPr>
        <w:spacing w:line="560" w:lineRule="exact"/>
        <w:ind w:firstLine="482" w:firstLineChars="200"/>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3）特殊情况处理</w:t>
      </w:r>
      <w:r>
        <w:rPr>
          <w:rFonts w:hint="eastAsia" w:ascii="仿宋" w:hAnsi="仿宋" w:eastAsia="仿宋" w:cs="仿宋"/>
          <w:color w:val="auto"/>
          <w:szCs w:val="24"/>
          <w:highlight w:val="none"/>
        </w:rPr>
        <w:t>：</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a、若出现综合得分并列时，投标报价得分高者为第一中标候选人，若投标报价的得分相同，</w:t>
      </w:r>
      <w:r>
        <w:rPr>
          <w:rFonts w:hint="eastAsia" w:ascii="仿宋" w:hAnsi="仿宋" w:eastAsia="仿宋" w:cs="仿宋"/>
          <w:b w:val="0"/>
          <w:bCs w:val="0"/>
          <w:color w:val="auto"/>
          <w:szCs w:val="24"/>
          <w:highlight w:val="none"/>
          <w:lang w:val="en-US" w:eastAsia="zh-CN"/>
        </w:rPr>
        <w:t>服务方案</w:t>
      </w:r>
      <w:r>
        <w:rPr>
          <w:rFonts w:hint="eastAsia" w:ascii="仿宋" w:hAnsi="仿宋" w:eastAsia="仿宋" w:cs="仿宋"/>
          <w:b w:val="0"/>
          <w:bCs w:val="0"/>
          <w:color w:val="auto"/>
          <w:szCs w:val="24"/>
          <w:highlight w:val="none"/>
        </w:rPr>
        <w:t>高者为第一中标候选人，若上述两项得分相同，则由全体评标委员会成员无记名投票，得票高者为第一中标候选人。</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b、当投标人某评分项出现未报、漏报或零报价时，该分项得零分，并不参与投标报价分的计算。</w:t>
      </w:r>
    </w:p>
    <w:p>
      <w:pPr>
        <w:spacing w:line="560" w:lineRule="exact"/>
        <w:ind w:firstLine="597" w:firstLineChars="249"/>
        <w:rPr>
          <w:rFonts w:hint="eastAsia" w:ascii="仿宋" w:hAnsi="仿宋" w:eastAsia="仿宋" w:cs="仿宋"/>
          <w:b w:val="0"/>
          <w:bCs w:val="0"/>
          <w:color w:val="auto"/>
          <w:szCs w:val="24"/>
          <w:highlight w:val="none"/>
        </w:rPr>
      </w:pPr>
      <w:r>
        <w:rPr>
          <w:rFonts w:hint="eastAsia" w:ascii="仿宋" w:hAnsi="仿宋" w:eastAsia="仿宋" w:cs="仿宋"/>
          <w:b w:val="0"/>
          <w:bCs w:val="0"/>
          <w:color w:val="auto"/>
          <w:szCs w:val="24"/>
          <w:highlight w:val="none"/>
        </w:rPr>
        <w:t>c、评标过程中，若出现本评标方法以外的特殊情况时，将暂停评标，待评委商榷后再进行复会。</w:t>
      </w:r>
    </w:p>
    <w:p>
      <w:pPr>
        <w:spacing w:line="560" w:lineRule="exact"/>
        <w:ind w:firstLine="600" w:firstLineChars="249"/>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3-</w:t>
      </w:r>
      <w:r>
        <w:rPr>
          <w:rFonts w:hint="eastAsia" w:ascii="仿宋" w:hAnsi="仿宋" w:eastAsia="仿宋" w:cs="仿宋"/>
          <w:b/>
          <w:bCs/>
          <w:color w:val="auto"/>
          <w:szCs w:val="24"/>
          <w:highlight w:val="none"/>
          <w:lang w:val="en-US" w:eastAsia="zh-CN"/>
        </w:rPr>
        <w:t>9</w:t>
      </w:r>
      <w:r>
        <w:rPr>
          <w:rFonts w:hint="eastAsia" w:ascii="仿宋" w:hAnsi="仿宋" w:eastAsia="仿宋" w:cs="仿宋"/>
          <w:b/>
          <w:bCs/>
          <w:color w:val="auto"/>
          <w:szCs w:val="24"/>
          <w:highlight w:val="none"/>
        </w:rPr>
        <w:t>、政府采购政策评分标准</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-1、小微企业的价格评分标准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（1）根据《政府采购促进中小企业发展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w:t>
      </w:r>
      <w:r>
        <w:rPr>
          <w:rFonts w:hint="eastAsia" w:ascii="仿宋" w:hAnsi="仿宋" w:eastAsia="仿宋" w:cs="仿宋"/>
          <w:color w:val="auto"/>
          <w:szCs w:val="24"/>
          <w:highlight w:val="none"/>
          <w:lang w:val="en-US" w:eastAsia="zh-CN"/>
        </w:rPr>
        <w:t>2020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号）的办法</w:t>
      </w:r>
      <w:r>
        <w:rPr>
          <w:rFonts w:hint="eastAsia" w:ascii="仿宋" w:hAnsi="仿宋" w:eastAsia="仿宋" w:cs="仿宋"/>
          <w:color w:val="auto"/>
          <w:szCs w:val="24"/>
          <w:highlight w:val="none"/>
          <w:lang w:eastAsia="zh-CN"/>
        </w:rPr>
        <w:t>及</w:t>
      </w:r>
      <w:bookmarkStart w:id="31" w:name="_Toc14639"/>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关于进一步加大政府采购支持中小企业力度的通知</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（财库</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2022</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19号）</w:t>
      </w:r>
      <w:bookmarkEnd w:id="31"/>
      <w:r>
        <w:rPr>
          <w:rFonts w:hint="eastAsia" w:ascii="仿宋" w:hAnsi="仿宋" w:eastAsia="仿宋" w:cs="仿宋"/>
          <w:color w:val="auto"/>
          <w:szCs w:val="24"/>
          <w:highlight w:val="none"/>
          <w:lang w:val="en-US" w:eastAsia="zh-CN"/>
        </w:rPr>
        <w:t>的通知</w:t>
      </w:r>
      <w:r>
        <w:rPr>
          <w:rFonts w:hint="eastAsia" w:ascii="仿宋" w:hAnsi="仿宋" w:eastAsia="仿宋" w:cs="仿宋"/>
          <w:color w:val="auto"/>
          <w:szCs w:val="24"/>
          <w:highlight w:val="none"/>
        </w:rPr>
        <w:t>，对于专门面向中小企业的项目</w:t>
      </w:r>
      <w:r>
        <w:rPr>
          <w:rFonts w:hint="eastAsia" w:ascii="仿宋" w:hAnsi="仿宋" w:eastAsia="仿宋" w:cs="仿宋"/>
          <w:color w:val="auto"/>
          <w:szCs w:val="24"/>
          <w:highlight w:val="none"/>
          <w:lang w:eastAsia="zh-CN"/>
        </w:rPr>
        <w:t>，不再执行价格评审优惠的扶持政策</w:t>
      </w:r>
      <w:r>
        <w:rPr>
          <w:rFonts w:hint="eastAsia" w:ascii="仿宋" w:hAnsi="仿宋" w:eastAsia="仿宋" w:cs="仿宋"/>
          <w:color w:val="auto"/>
          <w:szCs w:val="24"/>
          <w:highlight w:val="none"/>
        </w:rPr>
        <w:t>。</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（2）以联合体形式参加政府采购活动，联合体各方均为中小企业的，联合体视同中小企业。其中，联合体各方均为小微企业的，联合体视同小微企业。</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）参加本项目的小微企业须提供《</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未提供的不视为小微企业。本项目提供的货物不包括使用大型企业注册商标的货物，小型、微型企业提供中型企业制造的货物的，视同为中型企业。投标人须做出承诺，保证真实性，如有虚假，将依法承担相应责任。</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）小微企业按《政府采购促进中小企业发展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办法》（财库【20</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号）和《工业和信息化部、国家统计局、国家发展和改革委员会、财政部关于印发&lt;中小企业划型标准规定&gt;的通知》（工信部联企业【2011】300号）文件规定标准确认。</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-2、监狱企业的价格评分标准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（1）在政府采购活动中，监狱企业视同小型、微型企业，享受预留份额、评审中价格扣除等政府采购促进中小企业发展的政府采购政策。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（2）监狱企业</w:t>
      </w:r>
      <w:r>
        <w:rPr>
          <w:rFonts w:hint="eastAsia" w:ascii="仿宋" w:hAnsi="仿宋" w:eastAsia="仿宋" w:cs="仿宋"/>
          <w:color w:val="auto"/>
          <w:kern w:val="0"/>
          <w:szCs w:val="24"/>
          <w:highlight w:val="none"/>
        </w:rPr>
        <w:t xml:space="preserve">属于小型、微型企业的，不重复享受政策。 </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（3）监狱企业参加政府采购活动时，应当提供由省级以上监狱管理局、戒毒管理局（含新疆生产建设兵团）出具的属于监狱企业的证明文件。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 xml:space="preserve">    （4）监狱企业按《财政部、司法部关于政府采购支持监狱企业发展有关问题的通知》（财库〔2014〕68号）文件规定标准执行。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-3、残疾人福利性单位的价格评分标准</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（1）在政府采购活动中，残疾人福利性单位视同小型、微型企业，享受预留份额、评审中价格扣除等政府采购促进中小企业发展的政府采购政策。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（2）</w:t>
      </w:r>
      <w:r>
        <w:rPr>
          <w:rFonts w:hint="eastAsia" w:ascii="仿宋" w:hAnsi="仿宋" w:eastAsia="仿宋" w:cs="仿宋"/>
          <w:color w:val="auto"/>
          <w:kern w:val="0"/>
          <w:szCs w:val="24"/>
          <w:highlight w:val="none"/>
        </w:rPr>
        <w:t>残疾人福利性单位属于小型、微型企业的，不重复享受政策。</w:t>
      </w:r>
    </w:p>
    <w:p>
      <w:p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kern w:val="0"/>
          <w:szCs w:val="24"/>
          <w:highlight w:val="none"/>
        </w:rPr>
        <w:t>符合条件的残疾人福利性单位在参加政府采购活动时，应当提供本通知规定的《残疾人福利性单位声明函》，并对声明的真实性负责，</w:t>
      </w:r>
      <w:r>
        <w:rPr>
          <w:rFonts w:hint="eastAsia" w:ascii="仿宋" w:hAnsi="仿宋" w:eastAsia="仿宋" w:cs="仿宋"/>
          <w:color w:val="auto"/>
          <w:szCs w:val="24"/>
          <w:highlight w:val="none"/>
        </w:rPr>
        <w:t>未提供的不视为</w:t>
      </w:r>
      <w:r>
        <w:rPr>
          <w:rFonts w:hint="eastAsia" w:ascii="仿宋" w:hAnsi="仿宋" w:eastAsia="仿宋" w:cs="仿宋"/>
          <w:color w:val="auto"/>
          <w:kern w:val="0"/>
          <w:szCs w:val="24"/>
          <w:highlight w:val="none"/>
        </w:rPr>
        <w:t xml:space="preserve">残疾人福利性单位。 </w:t>
      </w:r>
    </w:p>
    <w:p>
      <w:pPr>
        <w:spacing w:line="560" w:lineRule="exact"/>
        <w:ind w:firstLine="597" w:firstLineChars="249"/>
        <w:rPr>
          <w:rFonts w:hint="eastAsia" w:ascii="仿宋" w:hAnsi="仿宋" w:eastAsia="仿宋" w:cs="仿宋"/>
          <w:color w:val="auto"/>
          <w:szCs w:val="24"/>
          <w:highlight w:val="none"/>
        </w:rPr>
      </w:pPr>
      <w:r>
        <w:rPr>
          <w:rFonts w:hint="eastAsia" w:ascii="仿宋" w:hAnsi="仿宋" w:eastAsia="仿宋" w:cs="仿宋"/>
          <w:color w:val="auto"/>
          <w:szCs w:val="24"/>
          <w:highlight w:val="none"/>
        </w:rPr>
        <w:t>3-</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-4、节能产品、环境标志产品政策</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（1）根据《财政部、国家发展改革委、生态环境部、市场监管总局&lt;关于调整优化节能产品、环境标志产品政府采购执行机制&gt;的通知》的</w:t>
      </w:r>
      <w:r>
        <w:rPr>
          <w:rFonts w:hint="eastAsia" w:ascii="仿宋" w:hAnsi="仿宋" w:eastAsia="仿宋" w:cs="仿宋"/>
          <w:color w:val="auto"/>
          <w:szCs w:val="24"/>
          <w:highlight w:val="none"/>
        </w:rPr>
        <w:t>有关规定</w:t>
      </w:r>
      <w:r>
        <w:rPr>
          <w:rFonts w:hint="eastAsia" w:ascii="仿宋" w:hAnsi="仿宋" w:eastAsia="仿宋" w:cs="仿宋"/>
          <w:bCs/>
          <w:color w:val="auto"/>
          <w:highlight w:val="none"/>
        </w:rPr>
        <w:t>，依据品目清单和认证证书实施政府采购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rPr>
        <w:t>（2）投标人在投标文件中对所投标产品为节能、环境标志产品清单中的产品，在投标报价时必须对此类产品单独分项报价，并提供属于清单内产品的证明资料，否则评审时不给予计分。 </w:t>
      </w:r>
    </w:p>
    <w:p>
      <w:pPr>
        <w:autoSpaceDE w:val="0"/>
        <w:autoSpaceDN w:val="0"/>
        <w:adjustRightInd w:val="0"/>
        <w:spacing w:line="560" w:lineRule="exact"/>
        <w:ind w:firstLine="480" w:firstLineChars="200"/>
        <w:rPr>
          <w:rFonts w:hint="eastAsia" w:ascii="仿宋" w:hAnsi="仿宋" w:eastAsia="仿宋" w:cs="仿宋"/>
          <w:bCs/>
          <w:color w:val="auto"/>
          <w:highlight w:val="none"/>
          <w:lang w:val="en-US" w:eastAsia="zh-CN"/>
        </w:rPr>
      </w:pPr>
      <w:r>
        <w:rPr>
          <w:rFonts w:hint="eastAsia" w:ascii="仿宋" w:hAnsi="仿宋" w:eastAsia="仿宋" w:cs="仿宋"/>
          <w:bCs/>
          <w:color w:val="auto"/>
          <w:highlight w:val="none"/>
          <w:lang w:val="en-US" w:eastAsia="zh-CN"/>
        </w:rPr>
        <w:t>（3）产品同时属于“非强制采购节能产品”、环境标志产品的，评审时可同时享受优先待遇。</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（4）若节能、环境标志品目清单内的产品仅是构成投标产品的部件、组件或零件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的，则该投标产品不享受鼓励优惠政策。 </w:t>
      </w:r>
    </w:p>
    <w:p>
      <w:pPr>
        <w:autoSpaceDE w:val="0"/>
        <w:autoSpaceDN w:val="0"/>
        <w:adjustRightInd w:val="0"/>
        <w:spacing w:line="560" w:lineRule="exact"/>
        <w:ind w:firstLine="480" w:firstLineChars="20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（5）节能、环境标志产品部分计分只对属于品目清单内的非强制类产品进行计分， </w:t>
      </w:r>
    </w:p>
    <w:p>
      <w:pPr>
        <w:autoSpaceDE w:val="0"/>
        <w:autoSpaceDN w:val="0"/>
        <w:adjustRightInd w:val="0"/>
        <w:spacing w:line="560" w:lineRule="exact"/>
        <w:ind w:left="0" w:leftChars="0" w:firstLine="0" w:firstLineChars="0"/>
        <w:rPr>
          <w:rFonts w:hint="eastAsia" w:ascii="仿宋" w:hAnsi="仿宋" w:eastAsia="仿宋" w:cs="仿宋"/>
          <w:bCs/>
          <w:color w:val="auto"/>
          <w:highlight w:val="none"/>
        </w:rPr>
      </w:pPr>
      <w:r>
        <w:rPr>
          <w:rFonts w:hint="eastAsia" w:ascii="仿宋" w:hAnsi="仿宋" w:eastAsia="仿宋" w:cs="仿宋"/>
          <w:bCs/>
          <w:color w:val="auto"/>
          <w:highlight w:val="none"/>
          <w:lang w:val="en-US" w:eastAsia="zh-CN"/>
        </w:rPr>
        <w:t xml:space="preserve">强制类产品不给予计分。 </w:t>
      </w:r>
    </w:p>
    <w:p>
      <w:pPr>
        <w:spacing w:line="560" w:lineRule="exact"/>
        <w:ind w:firstLine="482" w:firstLineChars="200"/>
        <w:rPr>
          <w:rFonts w:hint="eastAsia" w:ascii="仿宋" w:hAnsi="仿宋" w:eastAsia="仿宋" w:cs="仿宋"/>
          <w:b/>
          <w:bCs/>
          <w:color w:val="auto"/>
          <w:szCs w:val="24"/>
          <w:highlight w:val="none"/>
          <w:lang w:val="zh-CN"/>
        </w:rPr>
      </w:pPr>
      <w:r>
        <w:rPr>
          <w:rFonts w:hint="eastAsia" w:ascii="仿宋" w:hAnsi="仿宋" w:eastAsia="仿宋" w:cs="仿宋"/>
          <w:b/>
          <w:bCs/>
          <w:color w:val="auto"/>
          <w:szCs w:val="24"/>
          <w:highlight w:val="none"/>
          <w:lang w:val="en-US" w:eastAsia="zh-CN"/>
        </w:rPr>
        <w:t>3-10、</w:t>
      </w:r>
      <w:r>
        <w:rPr>
          <w:rFonts w:hint="eastAsia" w:ascii="仿宋" w:hAnsi="仿宋" w:eastAsia="仿宋" w:cs="仿宋"/>
          <w:b/>
          <w:bCs/>
          <w:color w:val="auto"/>
          <w:szCs w:val="24"/>
          <w:highlight w:val="none"/>
          <w:lang w:val="zh-CN"/>
        </w:rPr>
        <w:t>政府采购信用融资政策</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政府采购信用融资是指银行业金融机构以政府采购诚信考核和信用审查为基础，凭借政府采购合同，按优于一般中小企业的贷款利率直接向申请贷款的供应商发放贷款的一种融资方式。融资金额未超过政府采购合同金额的，银行原则上不得要求供应商提供财产抵押或第三方担保或其他任何形式的担保条件。</w:t>
      </w:r>
    </w:p>
    <w:p>
      <w:pPr>
        <w:spacing w:line="560" w:lineRule="exact"/>
        <w:ind w:firstLine="480" w:firstLineChars="200"/>
        <w:rPr>
          <w:rFonts w:hint="eastAsia" w:ascii="仿宋" w:hAnsi="仿宋" w:eastAsia="仿宋" w:cs="仿宋"/>
          <w:b w:val="0"/>
          <w:bCs/>
          <w:color w:val="auto"/>
          <w:szCs w:val="24"/>
          <w:highlight w:val="none"/>
        </w:rPr>
      </w:pPr>
      <w:r>
        <w:rPr>
          <w:rFonts w:hint="eastAsia" w:ascii="仿宋" w:hAnsi="仿宋" w:eastAsia="仿宋" w:cs="仿宋"/>
          <w:b w:val="0"/>
          <w:bCs/>
          <w:color w:val="auto"/>
          <w:szCs w:val="24"/>
          <w:highlight w:val="none"/>
        </w:rPr>
        <w:t>依据《陕西省财政厅关于印发〈陕西省中小企业政府采购信用融资办法〉的通知》（陕财办采〔2018〕23号）、《陕西省财政厅关于加快推进我省中小企业政府采购信用融资工作的通知》（陕财办采[2020]15号），有融资需求的供应商可根据自身情况，在陕西省政府采购信用融资平台（含各市分平台）自主选择金融机构及其融资产品，凭政府采购中标（成交）通知书或政府采购合同向金融机构提出融资申请。</w:t>
      </w:r>
    </w:p>
    <w:p>
      <w:pPr>
        <w:spacing w:line="560" w:lineRule="exact"/>
        <w:ind w:firstLine="482" w:firstLineChars="2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4、</w:t>
      </w:r>
      <w:r>
        <w:rPr>
          <w:rFonts w:hint="eastAsia" w:ascii="仿宋" w:hAnsi="仿宋" w:eastAsia="仿宋" w:cs="仿宋"/>
          <w:b/>
          <w:bCs/>
          <w:color w:val="auto"/>
          <w:szCs w:val="24"/>
          <w:highlight w:val="none"/>
        </w:rPr>
        <w:t>定标</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4-1、定标程序</w:t>
      </w:r>
    </w:p>
    <w:p>
      <w:pPr>
        <w:numPr>
          <w:ilvl w:val="0"/>
          <w:numId w:val="5"/>
        </w:numPr>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评标委员会依据评标办法，经过符合性审查、澄清、比较与评价等程序后，在最大限度满足招标文件实质性要求前提下进行综合评审，以评标总得分最高到低的顺序推荐3名以上中标候选人，并编写</w:t>
      </w:r>
      <w:bookmarkStart w:id="32" w:name="OLE_LINK4"/>
      <w:r>
        <w:rPr>
          <w:rFonts w:hint="eastAsia" w:ascii="仿宋" w:hAnsi="仿宋" w:eastAsia="仿宋" w:cs="仿宋"/>
          <w:color w:val="auto"/>
          <w:szCs w:val="24"/>
          <w:highlight w:val="none"/>
        </w:rPr>
        <w:t>评标</w:t>
      </w:r>
      <w:bookmarkEnd w:id="32"/>
      <w:r>
        <w:rPr>
          <w:rFonts w:hint="eastAsia" w:ascii="仿宋" w:hAnsi="仿宋" w:eastAsia="仿宋" w:cs="仿宋"/>
          <w:color w:val="auto"/>
          <w:szCs w:val="24"/>
          <w:highlight w:val="none"/>
        </w:rPr>
        <w:t>报告。</w:t>
      </w:r>
      <w:r>
        <w:rPr>
          <w:rFonts w:hint="eastAsia" w:ascii="仿宋" w:hAnsi="仿宋" w:eastAsia="仿宋" w:cs="仿宋"/>
          <w:color w:val="auto"/>
          <w:kern w:val="0"/>
          <w:szCs w:val="24"/>
          <w:highlight w:val="none"/>
        </w:rPr>
        <w:t>　</w:t>
      </w:r>
    </w:p>
    <w:p>
      <w:pPr>
        <w:numPr>
          <w:ilvl w:val="0"/>
          <w:numId w:val="5"/>
        </w:numPr>
        <w:spacing w:line="560" w:lineRule="exact"/>
        <w:ind w:firstLine="480" w:firstLineChars="200"/>
        <w:rPr>
          <w:rFonts w:hint="eastAsia" w:ascii="仿宋" w:hAnsi="仿宋" w:eastAsia="仿宋" w:cs="仿宋"/>
          <w:color w:val="auto"/>
          <w:szCs w:val="24"/>
          <w:highlight w:val="none"/>
        </w:rPr>
      </w:pPr>
      <w:bookmarkStart w:id="33" w:name="OLE_LINK18"/>
      <w:r>
        <w:rPr>
          <w:rFonts w:hint="eastAsia" w:ascii="仿宋" w:hAnsi="仿宋" w:eastAsia="仿宋" w:cs="仿宋"/>
          <w:color w:val="auto"/>
          <w:szCs w:val="24"/>
          <w:highlight w:val="none"/>
        </w:rPr>
        <w:t>评标委员会成员应当在评标报告上签字，对自己的评审意见承担法律责任。</w:t>
      </w:r>
      <w:r>
        <w:rPr>
          <w:rFonts w:hint="eastAsia" w:ascii="仿宋" w:hAnsi="仿宋" w:eastAsia="仿宋" w:cs="仿宋"/>
          <w:color w:val="auto"/>
          <w:highlight w:val="none"/>
        </w:rPr>
        <w:t>评标委员会成员对需要共同认定的事项存在争议的，应当按照少数服从多数的原则作出结论。持不同意见的评标委员会成员应当在评标报告上签署不同意见及理由，否则视为同意评标报告。</w:t>
      </w:r>
    </w:p>
    <w:bookmarkEnd w:id="33"/>
    <w:p>
      <w:pPr>
        <w:numPr>
          <w:ilvl w:val="0"/>
          <w:numId w:val="5"/>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应当自评审结束之日起2个工作日内将评标报告送交采购人。采购人在收到评审报告5个工作日内，从评审报告推荐的中标候选人中，按顺序确定中标人。中标候选人并列的，投标报价得分高者成为中标人，若投标报价得分相同，技术得分高者成为中标人。确定结果后，采购人向采购代理机构出具《定标复函》。采购人逾期未按评标报告推荐的中标候选人顺序确定中标人，又不能说明合法理由的，视同按评标报告推荐的顺序确定排名第一的中标候选人为中标人。</w:t>
      </w:r>
    </w:p>
    <w:p>
      <w:pPr>
        <w:numPr>
          <w:ilvl w:val="0"/>
          <w:numId w:val="5"/>
        </w:num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采购代理机构接到采购人的《定标复函》后，在2个工作日内，将中标结果在陕西省政府采购网上进行公告。公告发布1个工作日，其他投标人若有异议，按《政府采购法》第52条执行。</w:t>
      </w:r>
    </w:p>
    <w:p>
      <w:pPr>
        <w:spacing w:line="560" w:lineRule="exact"/>
        <w:ind w:firstLine="600" w:firstLineChars="250"/>
        <w:rPr>
          <w:rFonts w:hint="eastAsia" w:ascii="仿宋" w:hAnsi="仿宋" w:eastAsia="仿宋" w:cs="仿宋"/>
          <w:color w:val="auto"/>
          <w:szCs w:val="24"/>
          <w:highlight w:val="none"/>
        </w:rPr>
      </w:pPr>
      <w:r>
        <w:rPr>
          <w:rFonts w:hint="eastAsia" w:ascii="仿宋" w:hAnsi="仿宋" w:eastAsia="仿宋" w:cs="仿宋"/>
          <w:color w:val="auto"/>
          <w:szCs w:val="24"/>
          <w:highlight w:val="none"/>
        </w:rPr>
        <w:t>4-2、中标人确定后，采购人和采购代理机构对未中标原因不作任何解释，投标文件不予退还（含纸质及电子版文件）。</w:t>
      </w:r>
    </w:p>
    <w:p>
      <w:pPr>
        <w:adjustRightInd w:val="0"/>
        <w:snapToGrid w:val="0"/>
        <w:spacing w:line="560" w:lineRule="exact"/>
        <w:ind w:firstLine="482" w:firstLineChars="200"/>
        <w:rPr>
          <w:rFonts w:hint="eastAsia" w:ascii="仿宋" w:hAnsi="仿宋" w:eastAsia="仿宋" w:cs="仿宋"/>
          <w:color w:val="auto"/>
          <w:szCs w:val="24"/>
          <w:highlight w:val="none"/>
        </w:rPr>
      </w:pPr>
      <w:bookmarkStart w:id="34" w:name="_Toc458617738"/>
      <w:bookmarkStart w:id="35" w:name="_Toc458617461"/>
      <w:r>
        <w:rPr>
          <w:rFonts w:hint="eastAsia" w:ascii="仿宋" w:hAnsi="仿宋" w:eastAsia="仿宋" w:cs="仿宋"/>
          <w:b/>
          <w:color w:val="auto"/>
          <w:szCs w:val="24"/>
          <w:highlight w:val="none"/>
        </w:rPr>
        <w:t>5、投标无效的情形：</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、投标文件未按招标文件要求签署、盖章的；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、不具备招标文件中规定的资格要求的；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、报价超过招标文件中规定的预算金额的；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、投标文件含有采购人不能接受的附加条件的；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5-</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提供虚假材料谋取中标的；</w:t>
      </w:r>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5-</w:t>
      </w:r>
      <w:r>
        <w:rPr>
          <w:rFonts w:hint="eastAsia" w:ascii="仿宋" w:hAnsi="仿宋" w:eastAsia="仿宋" w:cs="仿宋"/>
          <w:color w:val="auto"/>
          <w:kern w:val="0"/>
          <w:szCs w:val="24"/>
          <w:highlight w:val="none"/>
          <w:lang w:val="en-US" w:eastAsia="zh-CN"/>
        </w:rPr>
        <w:t>6</w:t>
      </w:r>
      <w:r>
        <w:rPr>
          <w:rFonts w:hint="eastAsia" w:ascii="仿宋" w:hAnsi="仿宋" w:eastAsia="仿宋" w:cs="仿宋"/>
          <w:color w:val="auto"/>
          <w:kern w:val="0"/>
          <w:szCs w:val="24"/>
          <w:highlight w:val="none"/>
        </w:rPr>
        <w:t>、采取不正当手段诋毁、排挤其他投标人的；</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rPr>
        <w:t>5-</w:t>
      </w:r>
      <w:r>
        <w:rPr>
          <w:rFonts w:hint="eastAsia" w:ascii="仿宋" w:hAnsi="仿宋" w:eastAsia="仿宋" w:cs="仿宋"/>
          <w:color w:val="auto"/>
          <w:kern w:val="0"/>
          <w:szCs w:val="24"/>
          <w:highlight w:val="none"/>
          <w:lang w:val="en-US" w:eastAsia="zh-CN"/>
        </w:rPr>
        <w:t>7</w:t>
      </w:r>
      <w:r>
        <w:rPr>
          <w:rFonts w:hint="eastAsia" w:ascii="仿宋" w:hAnsi="仿宋" w:eastAsia="仿宋" w:cs="仿宋"/>
          <w:color w:val="auto"/>
          <w:kern w:val="0"/>
          <w:szCs w:val="24"/>
          <w:highlight w:val="none"/>
        </w:rPr>
        <w:t>、</w:t>
      </w:r>
      <w:r>
        <w:rPr>
          <w:rFonts w:hint="eastAsia" w:ascii="仿宋" w:hAnsi="仿宋" w:eastAsia="仿宋" w:cs="仿宋"/>
          <w:color w:val="auto"/>
          <w:szCs w:val="24"/>
          <w:highlight w:val="none"/>
        </w:rPr>
        <w:t>法律、法规和招标文件规定的其他无效情形。</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6、中标通知</w:t>
      </w:r>
      <w:bookmarkEnd w:id="34"/>
      <w:bookmarkEnd w:id="35"/>
      <w:r>
        <w:rPr>
          <w:rFonts w:hint="eastAsia" w:ascii="仿宋" w:hAnsi="仿宋" w:eastAsia="仿宋" w:cs="仿宋"/>
          <w:b/>
          <w:color w:val="auto"/>
          <w:szCs w:val="24"/>
          <w:highlight w:val="none"/>
        </w:rPr>
        <w:t>书及未中标通知书</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6-1、中标通知书及未中标通知书将在中标公告发布的同时由采购代理机构发出。</w:t>
      </w:r>
    </w:p>
    <w:p>
      <w:pPr>
        <w:adjustRightInd w:val="0"/>
        <w:snapToGrid w:val="0"/>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6-2、中标人应在接到采购代理机构通知之日起七日内领取中标通知书。</w:t>
      </w:r>
      <w:bookmarkStart w:id="36" w:name="_Toc458617462"/>
      <w:bookmarkStart w:id="37" w:name="_Toc458617739"/>
      <w:bookmarkStart w:id="38" w:name="_Toc458617790"/>
    </w:p>
    <w:p>
      <w:pPr>
        <w:adjustRightInd w:val="0"/>
        <w:snapToGrid w:val="0"/>
        <w:spacing w:line="560" w:lineRule="exact"/>
        <w:ind w:firstLine="480" w:firstLineChars="2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rPr>
        <w:t>6-3、</w:t>
      </w:r>
      <w:r>
        <w:rPr>
          <w:rFonts w:hint="eastAsia" w:ascii="仿宋" w:hAnsi="仿宋" w:eastAsia="仿宋" w:cs="仿宋"/>
          <w:color w:val="auto"/>
          <w:kern w:val="0"/>
          <w:szCs w:val="24"/>
          <w:highlight w:val="none"/>
        </w:rPr>
        <w:t>中标通知书发出后，采购人不得违法改变中标结果，中标人无正当理由不得弃中标。</w:t>
      </w:r>
    </w:p>
    <w:p>
      <w:pPr>
        <w:pStyle w:val="4"/>
        <w:spacing w:line="560" w:lineRule="exact"/>
        <w:rPr>
          <w:rFonts w:hint="eastAsia" w:ascii="仿宋" w:hAnsi="仿宋" w:eastAsia="仿宋" w:cs="仿宋"/>
          <w:color w:val="auto"/>
          <w:kern w:val="0"/>
          <w:sz w:val="28"/>
          <w:szCs w:val="28"/>
          <w:highlight w:val="none"/>
        </w:rPr>
      </w:pPr>
      <w:bookmarkStart w:id="39" w:name="_Toc23628"/>
      <w:r>
        <w:rPr>
          <w:rFonts w:hint="eastAsia" w:ascii="仿宋" w:hAnsi="仿宋" w:eastAsia="仿宋" w:cs="仿宋"/>
          <w:color w:val="auto"/>
          <w:kern w:val="0"/>
          <w:sz w:val="28"/>
          <w:szCs w:val="28"/>
          <w:highlight w:val="none"/>
          <w:lang w:val="en-US" w:eastAsia="zh-CN"/>
        </w:rPr>
        <w:t>七</w:t>
      </w:r>
      <w:r>
        <w:rPr>
          <w:rFonts w:hint="eastAsia" w:ascii="仿宋" w:hAnsi="仿宋" w:eastAsia="仿宋" w:cs="仿宋"/>
          <w:color w:val="auto"/>
          <w:kern w:val="0"/>
          <w:sz w:val="28"/>
          <w:szCs w:val="28"/>
          <w:highlight w:val="none"/>
        </w:rPr>
        <w:t>、合同</w:t>
      </w:r>
      <w:bookmarkEnd w:id="36"/>
      <w:bookmarkEnd w:id="37"/>
      <w:bookmarkEnd w:id="38"/>
      <w:bookmarkEnd w:id="39"/>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1、中标人在收到中标通知书后三十（30）个日历日内，应按招标文件的要求与采购人签订合同。</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中标人因自身原因不按规定与采购人签订供货合同或者拒绝与采购人签订合同的，则采购人将废除授标，投标保证金不予退还。给采购人造成损失超过投标保证金额的，还应当对超过部分予以赔偿，并依法承担相应法律责任。</w:t>
      </w:r>
      <w:r>
        <w:rPr>
          <w:rFonts w:hint="eastAsia" w:ascii="仿宋" w:hAnsi="仿宋" w:eastAsia="仿宋" w:cs="仿宋"/>
          <w:color w:val="auto"/>
          <w:highlight w:val="none"/>
        </w:rPr>
        <w:t>同时，采购人可以按照评审报告推荐的中标候选人名单排序，确定下一候选人为中标人，</w:t>
      </w:r>
      <w:r>
        <w:rPr>
          <w:rFonts w:hint="eastAsia" w:ascii="仿宋" w:hAnsi="仿宋" w:eastAsia="仿宋" w:cs="仿宋"/>
          <w:color w:val="auto"/>
          <w:szCs w:val="24"/>
          <w:highlight w:val="none"/>
        </w:rPr>
        <w:t>以此类推，</w:t>
      </w:r>
      <w:r>
        <w:rPr>
          <w:rFonts w:hint="eastAsia" w:ascii="仿宋" w:hAnsi="仿宋" w:eastAsia="仿宋" w:cs="仿宋"/>
          <w:color w:val="auto"/>
          <w:highlight w:val="none"/>
        </w:rPr>
        <w:t>也可以重新开展政府采购活动。</w:t>
      </w:r>
      <w:r>
        <w:rPr>
          <w:rFonts w:hint="eastAsia" w:ascii="仿宋" w:hAnsi="仿宋" w:eastAsia="仿宋" w:cs="仿宋"/>
          <w:color w:val="auto"/>
          <w:szCs w:val="24"/>
          <w:highlight w:val="none"/>
        </w:rPr>
        <w:t>因自身原因拒绝签订政府采购合同的或者未按合同约定进行履约的，中标人不得参加对该项目重新开展的招标活动。</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3、中标通知书将是合同的重要组成部分。招标文件、中标人的投标文件及评议过程中有关的澄清文件均作为合同附件。</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中标后，中标人应按照合同约定履行义务，完成招标项目的供货，经采购人同意，中标人可以依法采取分包方式履行合同。分包部分为中标项目的部分非主体、非关键性工作。接受分包的投标人应当具备相应的资格条件，并不得再次分包。分包履行的，中标人就采购项目和分包项目向采购人负责，分包投标人就分包项目承担责任。中小企业根据《政府采购促进中小企业发展</w:t>
      </w:r>
      <w:r>
        <w:rPr>
          <w:rFonts w:hint="eastAsia" w:ascii="仿宋" w:hAnsi="仿宋" w:eastAsia="仿宋" w:cs="仿宋"/>
          <w:color w:val="auto"/>
          <w:szCs w:val="24"/>
          <w:highlight w:val="none"/>
          <w:lang w:eastAsia="zh-CN"/>
        </w:rPr>
        <w:t>管理</w:t>
      </w:r>
      <w:r>
        <w:rPr>
          <w:rFonts w:hint="eastAsia" w:ascii="仿宋" w:hAnsi="仿宋" w:eastAsia="仿宋" w:cs="仿宋"/>
          <w:color w:val="auto"/>
          <w:szCs w:val="24"/>
          <w:highlight w:val="none"/>
        </w:rPr>
        <w:t>办法》（财库[</w:t>
      </w:r>
      <w:r>
        <w:rPr>
          <w:rFonts w:hint="eastAsia" w:ascii="仿宋" w:hAnsi="仿宋" w:eastAsia="仿宋" w:cs="仿宋"/>
          <w:color w:val="auto"/>
          <w:szCs w:val="24"/>
          <w:highlight w:val="none"/>
          <w:lang w:val="en-US" w:eastAsia="zh-CN"/>
        </w:rPr>
        <w:t>2020</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46</w:t>
      </w:r>
      <w:r>
        <w:rPr>
          <w:rFonts w:hint="eastAsia" w:ascii="仿宋" w:hAnsi="仿宋" w:eastAsia="仿宋" w:cs="仿宋"/>
          <w:color w:val="auto"/>
          <w:szCs w:val="24"/>
          <w:highlight w:val="none"/>
        </w:rPr>
        <w:t>号）规定的政策获取政府采购合同后，小型、微型企业不得分包或转包给大型、中型企业，中型企业不得分包或转包给大型企业。</w:t>
      </w:r>
    </w:p>
    <w:p>
      <w:pPr>
        <w:spacing w:line="560" w:lineRule="exact"/>
        <w:ind w:left="480" w:left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5、所签订的合同不得对招标文件确定的事项和中标人投标文件作实质性修改。</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6、采购人需追加与合同标的相同的货物、工程或服务的，在不改变合同其他条款的前提下，可以与中标人协商签订补充合同，但所有补充合同的采购金额不得超过原合同采购金额的百分之十。</w:t>
      </w:r>
      <w:bookmarkStart w:id="40" w:name="_Toc458617740"/>
      <w:bookmarkStart w:id="41" w:name="_Toc458617463"/>
    </w:p>
    <w:p>
      <w:pPr>
        <w:pStyle w:val="4"/>
        <w:spacing w:line="560" w:lineRule="exact"/>
        <w:rPr>
          <w:rFonts w:hint="eastAsia" w:ascii="仿宋" w:hAnsi="仿宋" w:eastAsia="仿宋" w:cs="仿宋"/>
          <w:color w:val="auto"/>
          <w:kern w:val="0"/>
          <w:sz w:val="28"/>
          <w:szCs w:val="28"/>
          <w:highlight w:val="none"/>
        </w:rPr>
      </w:pPr>
      <w:bookmarkStart w:id="42" w:name="_Toc16315"/>
      <w:r>
        <w:rPr>
          <w:rFonts w:hint="eastAsia" w:ascii="仿宋" w:hAnsi="仿宋" w:eastAsia="仿宋" w:cs="仿宋"/>
          <w:color w:val="auto"/>
          <w:kern w:val="0"/>
          <w:sz w:val="28"/>
          <w:szCs w:val="28"/>
          <w:highlight w:val="none"/>
          <w:lang w:val="en-US" w:eastAsia="zh-CN"/>
        </w:rPr>
        <w:t>八</w:t>
      </w:r>
      <w:r>
        <w:rPr>
          <w:rFonts w:hint="eastAsia" w:ascii="仿宋" w:hAnsi="仿宋" w:eastAsia="仿宋" w:cs="仿宋"/>
          <w:color w:val="auto"/>
          <w:kern w:val="0"/>
          <w:sz w:val="28"/>
          <w:szCs w:val="28"/>
          <w:highlight w:val="none"/>
        </w:rPr>
        <w:t>、合同的履约验收</w:t>
      </w:r>
      <w:bookmarkEnd w:id="42"/>
    </w:p>
    <w:p>
      <w:pPr>
        <w:spacing w:line="560" w:lineRule="exact"/>
        <w:rPr>
          <w:rFonts w:hint="eastAsia" w:ascii="仿宋" w:hAnsi="仿宋" w:eastAsia="仿宋" w:cs="仿宋"/>
          <w:color w:val="auto"/>
          <w:highlight w:val="none"/>
        </w:rPr>
      </w:pPr>
      <w:r>
        <w:rPr>
          <w:rFonts w:hint="eastAsia" w:ascii="仿宋" w:hAnsi="仿宋" w:eastAsia="仿宋" w:cs="仿宋"/>
          <w:color w:val="auto"/>
          <w:highlight w:val="none"/>
        </w:rPr>
        <w:t xml:space="preserve">     采购人应按照政府采购合同约定的技术、服务、安全标准组织对投标人每一项技术、服务、安全标准的履约情况进行验收，并出具验收书。</w:t>
      </w:r>
    </w:p>
    <w:p>
      <w:pPr>
        <w:pStyle w:val="4"/>
        <w:spacing w:line="560" w:lineRule="exact"/>
        <w:rPr>
          <w:rFonts w:hint="eastAsia" w:ascii="仿宋" w:hAnsi="仿宋" w:eastAsia="仿宋" w:cs="仿宋"/>
          <w:color w:val="auto"/>
          <w:kern w:val="0"/>
          <w:sz w:val="28"/>
          <w:szCs w:val="28"/>
          <w:highlight w:val="none"/>
        </w:rPr>
      </w:pPr>
      <w:bookmarkStart w:id="43" w:name="_Toc6905"/>
      <w:r>
        <w:rPr>
          <w:rFonts w:hint="eastAsia" w:ascii="仿宋" w:hAnsi="仿宋" w:eastAsia="仿宋" w:cs="仿宋"/>
          <w:color w:val="auto"/>
          <w:kern w:val="0"/>
          <w:sz w:val="28"/>
          <w:szCs w:val="28"/>
          <w:highlight w:val="none"/>
          <w:lang w:val="en-US" w:eastAsia="zh-CN"/>
        </w:rPr>
        <w:t>九</w:t>
      </w:r>
      <w:r>
        <w:rPr>
          <w:rFonts w:hint="eastAsia" w:ascii="仿宋" w:hAnsi="仿宋" w:eastAsia="仿宋" w:cs="仿宋"/>
          <w:color w:val="auto"/>
          <w:kern w:val="0"/>
          <w:sz w:val="28"/>
          <w:szCs w:val="28"/>
          <w:highlight w:val="none"/>
        </w:rPr>
        <w:t>、招标服务费</w:t>
      </w:r>
      <w:bookmarkEnd w:id="40"/>
      <w:bookmarkEnd w:id="41"/>
      <w:bookmarkEnd w:id="43"/>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1、中标人在领取中标通知书时，</w:t>
      </w:r>
      <w:bookmarkStart w:id="44" w:name="_Toc194663910"/>
      <w:bookmarkStart w:id="45" w:name="_Toc193187089"/>
      <w:bookmarkStart w:id="46" w:name="_Toc188808820"/>
      <w:bookmarkStart w:id="47" w:name="_Toc193126874"/>
      <w:r>
        <w:rPr>
          <w:rFonts w:hint="eastAsia" w:ascii="仿宋" w:hAnsi="仿宋" w:eastAsia="仿宋" w:cs="仿宋"/>
          <w:color w:val="auto"/>
          <w:szCs w:val="24"/>
          <w:highlight w:val="none"/>
        </w:rPr>
        <w:t>依据《国家发展改革委关于降低部分建设项目收费标准规范收费行为等有关问题的通知》(发改价格〔2011〕534号)</w:t>
      </w:r>
      <w:r>
        <w:rPr>
          <w:rFonts w:hint="eastAsia" w:ascii="仿宋" w:hAnsi="仿宋" w:eastAsia="仿宋" w:cs="仿宋"/>
          <w:color w:val="auto"/>
          <w:szCs w:val="24"/>
          <w:highlight w:val="none"/>
          <w:lang w:eastAsia="zh-CN"/>
        </w:rPr>
        <w:t>以及</w:t>
      </w:r>
      <w:r>
        <w:rPr>
          <w:rFonts w:hint="eastAsia" w:ascii="仿宋" w:hAnsi="仿宋" w:eastAsia="仿宋" w:cs="仿宋"/>
          <w:strike w:val="0"/>
          <w:dstrike w:val="0"/>
          <w:color w:val="auto"/>
          <w:szCs w:val="24"/>
          <w:highlight w:val="none"/>
          <w:lang w:eastAsia="zh-CN"/>
        </w:rPr>
        <w:t>财政部</w:t>
      </w:r>
      <w:r>
        <w:rPr>
          <w:rFonts w:hint="eastAsia" w:ascii="仿宋" w:hAnsi="仿宋" w:eastAsia="仿宋" w:cs="仿宋"/>
          <w:strike w:val="0"/>
          <w:dstrike w:val="0"/>
          <w:color w:val="auto"/>
          <w:szCs w:val="24"/>
          <w:highlight w:val="none"/>
        </w:rPr>
        <w:t>关于印发&lt;政府采购代理机构管理暂行办法&gt;的通知》</w:t>
      </w:r>
      <w:r>
        <w:rPr>
          <w:rFonts w:hint="eastAsia" w:ascii="仿宋" w:hAnsi="仿宋" w:eastAsia="仿宋" w:cs="仿宋"/>
          <w:strike w:val="0"/>
          <w:dstrike w:val="0"/>
          <w:color w:val="auto"/>
          <w:szCs w:val="24"/>
          <w:highlight w:val="none"/>
          <w:lang w:eastAsia="zh-CN"/>
        </w:rPr>
        <w:t>（财库</w:t>
      </w:r>
      <w:r>
        <w:rPr>
          <w:rFonts w:hint="eastAsia" w:ascii="仿宋" w:hAnsi="仿宋" w:eastAsia="仿宋" w:cs="仿宋"/>
          <w:strike w:val="0"/>
          <w:dstrike w:val="0"/>
          <w:color w:val="auto"/>
          <w:szCs w:val="24"/>
          <w:highlight w:val="none"/>
        </w:rPr>
        <w:t>〔2018〕</w:t>
      </w:r>
      <w:r>
        <w:rPr>
          <w:rFonts w:hint="eastAsia" w:ascii="仿宋" w:hAnsi="仿宋" w:eastAsia="仿宋" w:cs="仿宋"/>
          <w:strike w:val="0"/>
          <w:dstrike w:val="0"/>
          <w:color w:val="auto"/>
          <w:szCs w:val="24"/>
          <w:highlight w:val="none"/>
          <w:lang w:val="en-US" w:eastAsia="zh-CN"/>
        </w:rPr>
        <w:t>2</w:t>
      </w:r>
      <w:r>
        <w:rPr>
          <w:rFonts w:hint="eastAsia" w:ascii="仿宋" w:hAnsi="仿宋" w:eastAsia="仿宋" w:cs="仿宋"/>
          <w:strike w:val="0"/>
          <w:dstrike w:val="0"/>
          <w:color w:val="auto"/>
          <w:szCs w:val="24"/>
          <w:highlight w:val="none"/>
        </w:rPr>
        <w:t>号</w:t>
      </w:r>
      <w:r>
        <w:rPr>
          <w:rFonts w:hint="eastAsia" w:ascii="仿宋" w:hAnsi="仿宋" w:eastAsia="仿宋" w:cs="仿宋"/>
          <w:strike w:val="0"/>
          <w:dstrike w:val="0"/>
          <w:color w:val="auto"/>
          <w:szCs w:val="24"/>
          <w:highlight w:val="none"/>
          <w:lang w:eastAsia="zh-CN"/>
        </w:rPr>
        <w:t>）</w:t>
      </w:r>
      <w:r>
        <w:rPr>
          <w:rFonts w:hint="eastAsia" w:ascii="仿宋" w:hAnsi="仿宋" w:eastAsia="仿宋" w:cs="仿宋"/>
          <w:color w:val="auto"/>
          <w:szCs w:val="24"/>
          <w:highlight w:val="none"/>
        </w:rPr>
        <w:t>，向</w:t>
      </w:r>
      <w:r>
        <w:rPr>
          <w:rFonts w:hint="eastAsia" w:ascii="仿宋" w:hAnsi="仿宋" w:eastAsia="仿宋" w:cs="仿宋"/>
          <w:color w:val="auto"/>
          <w:szCs w:val="24"/>
          <w:highlight w:val="none"/>
          <w:lang w:eastAsia="zh-CN"/>
        </w:rPr>
        <w:t>卓安项目管理有限公司</w:t>
      </w:r>
      <w:r>
        <w:rPr>
          <w:rFonts w:hint="eastAsia" w:ascii="仿宋" w:hAnsi="仿宋" w:eastAsia="仿宋" w:cs="仿宋"/>
          <w:color w:val="auto"/>
          <w:szCs w:val="24"/>
          <w:highlight w:val="none"/>
        </w:rPr>
        <w:t>交纳招标服务费。</w:t>
      </w:r>
    </w:p>
    <w:p>
      <w:pPr>
        <w:spacing w:line="560" w:lineRule="exact"/>
        <w:ind w:firstLine="480" w:firstLineChars="200"/>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2、招标服务费应采用转账形式交纳。</w:t>
      </w:r>
      <w:r>
        <w:rPr>
          <w:rFonts w:hint="eastAsia" w:ascii="仿宋" w:hAnsi="仿宋" w:eastAsia="仿宋" w:cs="仿宋"/>
          <w:color w:val="auto"/>
          <w:szCs w:val="24"/>
          <w:highlight w:val="none"/>
          <w:lang w:val="en-US" w:eastAsia="zh-CN"/>
        </w:rPr>
        <w:t xml:space="preserve"> </w:t>
      </w:r>
    </w:p>
    <w:p>
      <w:pPr>
        <w:pStyle w:val="4"/>
        <w:spacing w:line="560" w:lineRule="exact"/>
        <w:rPr>
          <w:rFonts w:hint="eastAsia" w:ascii="仿宋" w:hAnsi="仿宋" w:eastAsia="仿宋" w:cs="仿宋"/>
          <w:color w:val="auto"/>
          <w:kern w:val="0"/>
          <w:sz w:val="28"/>
          <w:szCs w:val="28"/>
          <w:highlight w:val="none"/>
        </w:rPr>
      </w:pPr>
      <w:bookmarkStart w:id="48" w:name="_Toc458617741"/>
      <w:bookmarkStart w:id="49" w:name="_Toc458617464"/>
      <w:bookmarkStart w:id="50" w:name="_Toc32461"/>
      <w:r>
        <w:rPr>
          <w:rFonts w:hint="eastAsia" w:ascii="仿宋" w:hAnsi="仿宋" w:eastAsia="仿宋" w:cs="仿宋"/>
          <w:color w:val="auto"/>
          <w:kern w:val="0"/>
          <w:sz w:val="28"/>
          <w:szCs w:val="28"/>
          <w:highlight w:val="none"/>
        </w:rPr>
        <w:t>十、</w:t>
      </w:r>
      <w:bookmarkEnd w:id="44"/>
      <w:bookmarkEnd w:id="45"/>
      <w:bookmarkEnd w:id="46"/>
      <w:bookmarkEnd w:id="47"/>
      <w:bookmarkEnd w:id="48"/>
      <w:bookmarkEnd w:id="49"/>
      <w:r>
        <w:rPr>
          <w:rFonts w:hint="eastAsia" w:ascii="仿宋" w:hAnsi="仿宋" w:eastAsia="仿宋" w:cs="仿宋"/>
          <w:color w:val="auto"/>
          <w:kern w:val="0"/>
          <w:sz w:val="28"/>
          <w:szCs w:val="28"/>
          <w:highlight w:val="none"/>
        </w:rPr>
        <w:t>重新组织采购活动</w:t>
      </w:r>
      <w:bookmarkEnd w:id="50"/>
    </w:p>
    <w:p>
      <w:pPr>
        <w:spacing w:line="560" w:lineRule="exact"/>
        <w:ind w:firstLine="720" w:firstLineChars="300"/>
        <w:rPr>
          <w:rFonts w:hint="eastAsia" w:ascii="仿宋" w:hAnsi="仿宋" w:eastAsia="仿宋" w:cs="仿宋"/>
          <w:color w:val="auto"/>
          <w:szCs w:val="24"/>
          <w:highlight w:val="none"/>
        </w:rPr>
      </w:pPr>
      <w:r>
        <w:rPr>
          <w:rFonts w:hint="eastAsia" w:ascii="仿宋" w:hAnsi="仿宋" w:eastAsia="仿宋" w:cs="仿宋"/>
          <w:color w:val="auto"/>
          <w:szCs w:val="24"/>
          <w:highlight w:val="none"/>
        </w:rPr>
        <w:t>如果发生下列情况之一，采购人和采购代理机构将按《政府采购法》、《政府采购货物和服务招标投标管理办法》（财政部第87号）等有关规定重新组织采购活动：</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（1）因重大变故，采购任务取消的；</w:t>
      </w:r>
    </w:p>
    <w:p>
      <w:pPr>
        <w:spacing w:line="560" w:lineRule="exact"/>
        <w:ind w:firstLine="480"/>
        <w:rPr>
          <w:rFonts w:hint="eastAsia" w:ascii="仿宋" w:hAnsi="仿宋" w:eastAsia="仿宋" w:cs="仿宋"/>
          <w:color w:val="auto"/>
          <w:kern w:val="96"/>
          <w:szCs w:val="24"/>
          <w:highlight w:val="none"/>
        </w:rPr>
      </w:pPr>
      <w:r>
        <w:rPr>
          <w:rFonts w:hint="eastAsia" w:ascii="仿宋" w:hAnsi="仿宋" w:eastAsia="仿宋" w:cs="仿宋"/>
          <w:color w:val="auto"/>
          <w:kern w:val="96"/>
          <w:szCs w:val="24"/>
          <w:highlight w:val="none"/>
        </w:rPr>
        <w:t>（2）招标文件存在不合理条款或者招标程序不符合规定的；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kern w:val="96"/>
          <w:szCs w:val="24"/>
          <w:highlight w:val="none"/>
        </w:rPr>
        <w:t>（3）</w:t>
      </w:r>
      <w:r>
        <w:rPr>
          <w:rFonts w:hint="eastAsia" w:ascii="仿宋" w:hAnsi="仿宋" w:eastAsia="仿宋" w:cs="仿宋"/>
          <w:color w:val="auto"/>
          <w:szCs w:val="24"/>
          <w:highlight w:val="none"/>
        </w:rPr>
        <w:t>出现影响采购公正的违法、违规行为的；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（4）投标截止后投标人不足3家或者通过资格审查或符合性审查的投标人不足3家的；</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（5）所有投标人的报价均超出采购预算或最高限价，采购人不能支付的。</w:t>
      </w:r>
    </w:p>
    <w:p>
      <w:pPr>
        <w:pStyle w:val="4"/>
        <w:tabs>
          <w:tab w:val="left" w:pos="6899"/>
        </w:tabs>
        <w:spacing w:line="560" w:lineRule="exact"/>
        <w:rPr>
          <w:rFonts w:hint="eastAsia" w:ascii="仿宋" w:hAnsi="仿宋" w:eastAsia="仿宋" w:cs="仿宋"/>
          <w:color w:val="auto"/>
          <w:kern w:val="0"/>
          <w:sz w:val="28"/>
          <w:szCs w:val="28"/>
          <w:highlight w:val="none"/>
        </w:rPr>
      </w:pPr>
      <w:bookmarkStart w:id="51" w:name="_Toc458617742"/>
      <w:bookmarkStart w:id="52" w:name="_Toc458617465"/>
      <w:bookmarkStart w:id="53" w:name="_Toc8218"/>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一</w:t>
      </w:r>
      <w:r>
        <w:rPr>
          <w:rFonts w:hint="eastAsia" w:ascii="仿宋" w:hAnsi="仿宋" w:eastAsia="仿宋" w:cs="仿宋"/>
          <w:color w:val="auto"/>
          <w:kern w:val="0"/>
          <w:sz w:val="28"/>
          <w:szCs w:val="28"/>
          <w:highlight w:val="none"/>
        </w:rPr>
        <w:t>、</w:t>
      </w:r>
      <w:bookmarkEnd w:id="51"/>
      <w:bookmarkEnd w:id="52"/>
      <w:bookmarkStart w:id="54" w:name="_Toc458617466"/>
      <w:bookmarkStart w:id="55" w:name="_Toc458617743"/>
      <w:r>
        <w:rPr>
          <w:rFonts w:hint="eastAsia" w:ascii="仿宋" w:hAnsi="仿宋" w:eastAsia="仿宋" w:cs="仿宋"/>
          <w:color w:val="auto"/>
          <w:kern w:val="0"/>
          <w:sz w:val="28"/>
          <w:szCs w:val="28"/>
          <w:highlight w:val="none"/>
        </w:rPr>
        <w:t>询问、质疑与投诉</w:t>
      </w:r>
      <w:bookmarkEnd w:id="53"/>
      <w:r>
        <w:rPr>
          <w:rFonts w:hint="eastAsia" w:ascii="仿宋" w:hAnsi="仿宋" w:eastAsia="仿宋" w:cs="仿宋"/>
          <w:color w:val="auto"/>
          <w:kern w:val="0"/>
          <w:sz w:val="28"/>
          <w:szCs w:val="28"/>
          <w:highlight w:val="none"/>
        </w:rPr>
        <w:tab/>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1、询问</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投标人对政府采购活动事项有疑问的，可以向采购人、采购代理机构提出询问。</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2、质疑</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-1、投标人认为招标文件、招标过程和中标结果使自己的权益受到损害的，可以在知道或者应知其权益受到损害之日起七个工作日内，以书面形式向采购人或采购代理机构提出质疑，逾期质疑无效。投标人应知其权益受到损害之日，是指：</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pacing w:val="-11"/>
          <w:highlight w:val="none"/>
        </w:rPr>
      </w:pPr>
      <w:r>
        <w:rPr>
          <w:rFonts w:hint="eastAsia" w:ascii="仿宋" w:hAnsi="仿宋" w:eastAsia="仿宋" w:cs="仿宋"/>
          <w:color w:val="auto"/>
          <w:highlight w:val="none"/>
        </w:rPr>
        <w:t>（1）</w:t>
      </w:r>
      <w:r>
        <w:rPr>
          <w:rFonts w:hint="eastAsia" w:ascii="仿宋" w:hAnsi="仿宋" w:eastAsia="仿宋" w:cs="仿宋"/>
          <w:color w:val="auto"/>
          <w:spacing w:val="-11"/>
          <w:highlight w:val="none"/>
        </w:rPr>
        <w:t>对采购文件提出质疑的，为收到采购文件之日或者采购文件公告期限届满之日；</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highlight w:val="none"/>
        </w:rPr>
        <w:t>（2）对采购过程提出质疑的，为各采购程序环节结束之日；</w:t>
      </w:r>
    </w:p>
    <w:p>
      <w:pPr>
        <w:pageBreakBefore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auto"/>
          <w:szCs w:val="24"/>
          <w:highlight w:val="none"/>
        </w:rPr>
      </w:pPr>
      <w:r>
        <w:rPr>
          <w:rFonts w:hint="eastAsia" w:ascii="仿宋" w:hAnsi="仿宋" w:eastAsia="仿宋" w:cs="仿宋"/>
          <w:color w:val="auto"/>
          <w:highlight w:val="none"/>
        </w:rPr>
        <w:t xml:space="preserve">  （3）对中标或者成交结果提出质疑的，为中标或者成交结果公告期限届满之日。</w:t>
      </w:r>
      <w:r>
        <w:rPr>
          <w:rFonts w:hint="eastAsia" w:ascii="仿宋" w:hAnsi="仿宋" w:eastAsia="仿宋" w:cs="仿宋"/>
          <w:color w:val="auto"/>
          <w:kern w:val="0"/>
          <w:szCs w:val="24"/>
          <w:highlight w:val="none"/>
        </w:rPr>
        <w:t xml:space="preserve">  </w:t>
      </w:r>
      <w:r>
        <w:rPr>
          <w:rFonts w:hint="eastAsia" w:ascii="仿宋" w:hAnsi="仿宋" w:eastAsia="仿宋" w:cs="仿宋"/>
          <w:color w:val="auto"/>
          <w:highlight w:val="none"/>
        </w:rPr>
        <w:t>2-2、投标人须在法</w:t>
      </w:r>
      <w:r>
        <w:rPr>
          <w:rFonts w:hint="eastAsia" w:ascii="仿宋" w:hAnsi="仿宋" w:eastAsia="仿宋" w:cs="仿宋"/>
          <w:color w:val="auto"/>
          <w:szCs w:val="24"/>
          <w:highlight w:val="none"/>
        </w:rPr>
        <w:t>定质疑期内一次性提出针对同一采购程序环节的质疑。</w:t>
      </w:r>
    </w:p>
    <w:p>
      <w:pPr>
        <w:pageBreakBefore w:val="0"/>
        <w:widowControl w:val="0"/>
        <w:kinsoku/>
        <w:wordWrap/>
        <w:overflowPunct/>
        <w:topLinePunct w:val="0"/>
        <w:bidi w:val="0"/>
        <w:adjustRightInd w:val="0"/>
        <w:snapToGrid w:val="0"/>
        <w:spacing w:line="560" w:lineRule="exact"/>
        <w:ind w:firstLine="480" w:firstLineChars="200"/>
        <w:textAlignment w:val="auto"/>
        <w:rPr>
          <w:rFonts w:hint="eastAsia" w:ascii="仿宋" w:hAnsi="仿宋" w:eastAsia="仿宋" w:cs="仿宋"/>
          <w:b w:val="0"/>
          <w:bCs/>
          <w:color w:val="auto"/>
          <w:sz w:val="24"/>
          <w:szCs w:val="24"/>
          <w:highlight w:val="none"/>
          <w:lang w:val="zh-CN"/>
        </w:rPr>
      </w:pP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val="zh-CN"/>
        </w:rPr>
        <w:t>2-3、投标人须按照财政部发布的《政府采购</w:t>
      </w:r>
      <w:r>
        <w:rPr>
          <w:rFonts w:hint="eastAsia" w:ascii="仿宋" w:hAnsi="仿宋" w:eastAsia="仿宋" w:cs="仿宋"/>
          <w:b w:val="0"/>
          <w:bCs/>
          <w:color w:val="auto"/>
          <w:sz w:val="24"/>
          <w:szCs w:val="24"/>
          <w:highlight w:val="none"/>
          <w:lang w:val="zh-CN" w:eastAsia="zh-CN"/>
        </w:rPr>
        <w:t>供应商</w:t>
      </w:r>
      <w:r>
        <w:rPr>
          <w:rFonts w:hint="eastAsia" w:ascii="仿宋" w:hAnsi="仿宋" w:eastAsia="仿宋" w:cs="仿宋"/>
          <w:b w:val="0"/>
          <w:bCs/>
          <w:color w:val="auto"/>
          <w:sz w:val="24"/>
          <w:szCs w:val="24"/>
          <w:highlight w:val="none"/>
          <w:lang w:val="zh-CN"/>
        </w:rPr>
        <w:t>质疑函范本》及其制作说明提出质疑，详见“中国政府采购网（www.ccgp.gov.cn）”下载专区。</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-4、投标人提出质疑应当提交必要的证明材料，证据来源必须合法，采购人、采购代理机构有权将质疑函转发质疑事项各关联方，请其作出解释说明。质疑函内容不得含有虚假、恶意成分。对捏造事实、提供虚假材料或者以非法手段取得的证明材料，滥用维权扰乱采购秩序的恶意质疑者，采购人、采购代理机构将驳回。</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-5、投标人可以委托代理人进行质疑，须提交授权委托书。其授权委托书应当载明代理人的姓名或者名称、代理事项、具体权限、期限和相关事项。投标人为自然人的，应当由本人签字；投标人为法人或者其他组织的，应当由法定代表人、主要负责人，或者其授权代表签字或盖章，并加盖公章（鲜章）。</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highlight w:val="none"/>
        </w:rPr>
      </w:pPr>
      <w:r>
        <w:rPr>
          <w:rFonts w:hint="eastAsia" w:ascii="仿宋" w:hAnsi="仿宋" w:eastAsia="仿宋" w:cs="仿宋"/>
          <w:color w:val="auto"/>
          <w:szCs w:val="24"/>
          <w:highlight w:val="none"/>
        </w:rPr>
        <w:t xml:space="preserve">2-6、投标人应在法定期限内以书面形式提出质疑，联系人： </w:t>
      </w:r>
      <w:r>
        <w:rPr>
          <w:rFonts w:hint="eastAsia" w:ascii="仿宋" w:hAnsi="仿宋" w:eastAsia="仿宋" w:cs="仿宋"/>
          <w:color w:val="auto"/>
          <w:szCs w:val="24"/>
          <w:highlight w:val="none"/>
          <w:lang w:eastAsia="zh-CN"/>
        </w:rPr>
        <w:t>丁工</w:t>
      </w:r>
      <w:r>
        <w:rPr>
          <w:rFonts w:hint="eastAsia" w:ascii="仿宋" w:hAnsi="仿宋" w:eastAsia="仿宋" w:cs="仿宋"/>
          <w:color w:val="auto"/>
          <w:szCs w:val="24"/>
          <w:highlight w:val="none"/>
        </w:rPr>
        <w:t>，联系方式：029-8759232</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，地址：</w:t>
      </w:r>
      <w:r>
        <w:rPr>
          <w:rFonts w:hint="eastAsia" w:ascii="仿宋" w:hAnsi="仿宋" w:eastAsia="仿宋" w:cs="仿宋"/>
          <w:color w:val="auto"/>
          <w:szCs w:val="24"/>
          <w:highlight w:val="none"/>
          <w:lang w:eastAsia="zh-CN"/>
        </w:rPr>
        <w:t>卓安项目管理有限公司</w:t>
      </w:r>
      <w:r>
        <w:rPr>
          <w:rFonts w:hint="eastAsia" w:ascii="仿宋" w:hAnsi="仿宋" w:eastAsia="仿宋" w:cs="仿宋"/>
          <w:color w:val="auto"/>
          <w:szCs w:val="24"/>
          <w:highlight w:val="none"/>
        </w:rPr>
        <w:t>（西安市朱雀大街南段1号汇成天玺C座18层18</w:t>
      </w:r>
      <w:r>
        <w:rPr>
          <w:rFonts w:hint="eastAsia" w:ascii="仿宋" w:hAnsi="仿宋" w:eastAsia="仿宋" w:cs="仿宋"/>
          <w:color w:val="auto"/>
          <w:szCs w:val="24"/>
          <w:highlight w:val="none"/>
          <w:lang w:val="en-US" w:eastAsia="zh-CN"/>
        </w:rPr>
        <w:t>01</w:t>
      </w:r>
      <w:r>
        <w:rPr>
          <w:rFonts w:hint="eastAsia" w:ascii="仿宋" w:hAnsi="仿宋" w:eastAsia="仿宋" w:cs="仿宋"/>
          <w:color w:val="auto"/>
          <w:szCs w:val="24"/>
          <w:highlight w:val="none"/>
        </w:rPr>
        <w:t>室）。</w:t>
      </w:r>
      <w:r>
        <w:rPr>
          <w:rFonts w:hint="eastAsia" w:ascii="仿宋" w:hAnsi="仿宋" w:eastAsia="仿宋" w:cs="仿宋"/>
          <w:color w:val="auto"/>
          <w:szCs w:val="24"/>
          <w:highlight w:val="none"/>
        </w:rPr>
        <w:br w:type="textWrapping"/>
      </w:r>
      <w:r>
        <w:rPr>
          <w:rFonts w:hint="eastAsia" w:ascii="仿宋" w:hAnsi="仿宋" w:eastAsia="仿宋" w:cs="仿宋"/>
          <w:color w:val="auto"/>
          <w:highlight w:val="none"/>
        </w:rPr>
        <w:t xml:space="preserve">   3、投诉</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rPr>
      </w:pPr>
      <w:r>
        <w:rPr>
          <w:rFonts w:hint="eastAsia" w:ascii="仿宋" w:hAnsi="仿宋" w:eastAsia="仿宋" w:cs="仿宋"/>
          <w:color w:val="auto"/>
          <w:kern w:val="2"/>
          <w:sz w:val="24"/>
          <w:szCs w:val="20"/>
          <w:highlight w:val="none"/>
        </w:rPr>
        <w:t>3-1、质疑投标人对采购人、采购代理机构的答复不满意或者采购人、采购代理机构未在规定的时间内作出答复的，可按《政府采购法》第55条和《政府采购质疑和投诉办法》（财政部令第94号）第17条等有关规定执行。</w:t>
      </w:r>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rPr>
      </w:pPr>
      <w:r>
        <w:rPr>
          <w:rFonts w:hint="eastAsia" w:ascii="仿宋" w:hAnsi="仿宋" w:eastAsia="仿宋" w:cs="仿宋"/>
          <w:color w:val="auto"/>
          <w:kern w:val="2"/>
          <w:sz w:val="24"/>
          <w:szCs w:val="20"/>
          <w:highlight w:val="none"/>
        </w:rPr>
        <w:t>3-2、本项目质疑投标人对采购人、采购代理机构的答复不满意或者采购人、采购代理机构未在规定时间内作出答复的，可在15个工作日内向</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u w:val="single"/>
          <w:lang w:val="en-US" w:eastAsia="zh-CN"/>
        </w:rPr>
        <w:t>西安市</w:t>
      </w:r>
      <w:r>
        <w:rPr>
          <w:rFonts w:hint="eastAsia" w:ascii="仿宋" w:hAnsi="仿宋" w:eastAsia="仿宋" w:cs="仿宋"/>
          <w:color w:val="auto"/>
          <w:kern w:val="2"/>
          <w:sz w:val="24"/>
          <w:szCs w:val="20"/>
          <w:highlight w:val="none"/>
          <w:u w:val="single" w:color="auto"/>
          <w:lang w:val="en-US" w:eastAsia="zh-CN"/>
        </w:rPr>
        <w:t>高陵区财政局</w:t>
      </w:r>
      <w:r>
        <w:rPr>
          <w:rFonts w:hint="eastAsia" w:ascii="仿宋" w:hAnsi="仿宋" w:eastAsia="仿宋" w:cs="仿宋"/>
          <w:color w:val="auto"/>
          <w:kern w:val="2"/>
          <w:sz w:val="24"/>
          <w:szCs w:val="20"/>
          <w:highlight w:val="none"/>
          <w:u w:val="single"/>
        </w:rPr>
        <w:t xml:space="preserve"> </w:t>
      </w:r>
      <w:r>
        <w:rPr>
          <w:rFonts w:hint="eastAsia" w:ascii="仿宋" w:hAnsi="仿宋" w:eastAsia="仿宋" w:cs="仿宋"/>
          <w:color w:val="auto"/>
          <w:kern w:val="2"/>
          <w:sz w:val="24"/>
          <w:szCs w:val="20"/>
          <w:highlight w:val="none"/>
        </w:rPr>
        <w:t>提起投诉。</w:t>
      </w:r>
    </w:p>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b/>
          <w:bCs/>
          <w:color w:val="auto"/>
          <w:sz w:val="22"/>
          <w:szCs w:val="22"/>
          <w:highlight w:val="none"/>
        </w:rPr>
      </w:pPr>
      <w:bookmarkStart w:id="56" w:name="_Toc30306"/>
      <w:bookmarkStart w:id="57" w:name="_Toc523"/>
      <w:bookmarkStart w:id="58" w:name="_Toc3461"/>
      <w:r>
        <w:rPr>
          <w:rFonts w:hint="eastAsia" w:ascii="仿宋" w:hAnsi="仿宋" w:eastAsia="仿宋" w:cs="仿宋"/>
          <w:color w:val="auto"/>
          <w:kern w:val="0"/>
          <w:sz w:val="28"/>
          <w:szCs w:val="28"/>
          <w:highlight w:val="none"/>
          <w:lang w:val="en-US" w:eastAsia="zh-CN"/>
        </w:rPr>
        <w:t>十二、特殊情形的处理</w:t>
      </w:r>
      <w:bookmarkEnd w:id="56"/>
      <w:bookmarkEnd w:id="57"/>
      <w:bookmarkEnd w:id="58"/>
    </w:p>
    <w:p>
      <w:pPr>
        <w:pStyle w:val="36"/>
        <w:pageBreakBefore w:val="0"/>
        <w:kinsoku/>
        <w:wordWrap/>
        <w:overflowPunct/>
        <w:topLinePunct w:val="0"/>
        <w:autoSpaceDE/>
        <w:autoSpaceDN/>
        <w:bidi w:val="0"/>
        <w:adjustRightInd/>
        <w:snapToGrid/>
        <w:spacing w:line="640" w:lineRule="exact"/>
        <w:ind w:firstLine="480"/>
        <w:textAlignment w:val="auto"/>
        <w:rPr>
          <w:rFonts w:hint="eastAsia" w:ascii="仿宋" w:hAnsi="仿宋" w:eastAsia="仿宋" w:cs="仿宋"/>
          <w:color w:val="auto"/>
          <w:kern w:val="2"/>
          <w:sz w:val="24"/>
          <w:szCs w:val="20"/>
          <w:highlight w:val="none"/>
          <w:lang w:val="en-US" w:eastAsia="zh-CN"/>
        </w:rPr>
      </w:pPr>
      <w:r>
        <w:rPr>
          <w:rFonts w:hint="eastAsia" w:ascii="仿宋" w:hAnsi="仿宋" w:eastAsia="仿宋" w:cs="仿宋"/>
          <w:color w:val="auto"/>
          <w:kern w:val="2"/>
          <w:sz w:val="24"/>
          <w:szCs w:val="20"/>
          <w:highlight w:val="none"/>
          <w:lang w:val="en-US" w:eastAsia="zh-CN"/>
        </w:rPr>
        <w:t>若在实施采购项目过程中，因在不同阶段有效投标人不足三家，申请变更采购方式的，应按照《西安市财政局关于进一步规范市级预算单位变更政府采购方式审批管理的通知》（市财发【2017】186号）执行。）</w:t>
      </w:r>
    </w:p>
    <w:p>
      <w:pPr>
        <w:pStyle w:val="4"/>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sz w:val="28"/>
          <w:szCs w:val="28"/>
          <w:highlight w:val="none"/>
        </w:rPr>
      </w:pPr>
      <w:bookmarkStart w:id="59" w:name="_Toc27199"/>
      <w:r>
        <w:rPr>
          <w:rFonts w:hint="eastAsia" w:ascii="仿宋" w:hAnsi="仿宋" w:eastAsia="仿宋" w:cs="仿宋"/>
          <w:color w:val="auto"/>
          <w:kern w:val="0"/>
          <w:sz w:val="28"/>
          <w:szCs w:val="28"/>
          <w:highlight w:val="none"/>
        </w:rPr>
        <w:t>十</w:t>
      </w:r>
      <w:r>
        <w:rPr>
          <w:rFonts w:hint="eastAsia" w:ascii="仿宋" w:hAnsi="仿宋" w:eastAsia="仿宋" w:cs="仿宋"/>
          <w:color w:val="auto"/>
          <w:kern w:val="0"/>
          <w:sz w:val="28"/>
          <w:szCs w:val="28"/>
          <w:highlight w:val="none"/>
          <w:lang w:val="en-US" w:eastAsia="zh-CN"/>
        </w:rPr>
        <w:t>三</w:t>
      </w:r>
      <w:r>
        <w:rPr>
          <w:rFonts w:hint="eastAsia" w:ascii="仿宋" w:hAnsi="仿宋" w:eastAsia="仿宋" w:cs="仿宋"/>
          <w:color w:val="auto"/>
          <w:kern w:val="0"/>
          <w:sz w:val="28"/>
          <w:szCs w:val="28"/>
          <w:highlight w:val="none"/>
        </w:rPr>
        <w:t>、拒绝商业贿赂</w:t>
      </w:r>
      <w:bookmarkEnd w:id="54"/>
      <w:bookmarkEnd w:id="55"/>
      <w:bookmarkEnd w:id="59"/>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1、遵照陕西省财政厅的规定，采购人、采购代理机构、投标人和评审专家在招投标活动中，都要签订相应的《拒绝政府采购领域商业贿赂承诺书》，并对违反承诺的行为承担全部责任。</w:t>
      </w:r>
    </w:p>
    <w:p>
      <w:pPr>
        <w:pageBreakBefore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2、投标人必须填写《拒绝政府采购领域商业贿赂承诺书》并附在投标文件中，同时应保证投标文件正、副本中一致。</w:t>
      </w:r>
    </w:p>
    <w:p>
      <w:pPr>
        <w:pStyle w:val="3"/>
        <w:pageBreakBefore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kern w:val="0"/>
          <w:highlight w:val="none"/>
        </w:rPr>
        <w:sectPr>
          <w:headerReference r:id="rId11" w:type="first"/>
          <w:footerReference r:id="rId13" w:type="first"/>
          <w:footerReference r:id="rId12" w:type="default"/>
          <w:pgSz w:w="11907" w:h="16840"/>
          <w:pgMar w:top="1417" w:right="1134" w:bottom="1417" w:left="1304" w:header="935" w:footer="771" w:gutter="567"/>
          <w:pgNumType w:start="1"/>
          <w:cols w:space="0" w:num="1"/>
          <w:titlePg/>
          <w:docGrid w:linePitch="312" w:charSpace="0"/>
        </w:sectPr>
      </w:pPr>
      <w:bookmarkStart w:id="60" w:name="_Toc458617744"/>
      <w:bookmarkStart w:id="61" w:name="_Toc458617467"/>
    </w:p>
    <w:p>
      <w:pPr>
        <w:pStyle w:val="3"/>
        <w:spacing w:line="560" w:lineRule="exact"/>
        <w:jc w:val="center"/>
        <w:rPr>
          <w:rFonts w:hint="eastAsia" w:ascii="仿宋" w:hAnsi="仿宋" w:eastAsia="仿宋" w:cs="仿宋"/>
          <w:color w:val="auto"/>
          <w:szCs w:val="11"/>
          <w:highlight w:val="none"/>
        </w:rPr>
      </w:pPr>
      <w:bookmarkStart w:id="62" w:name="_Toc23118"/>
      <w:r>
        <w:rPr>
          <w:rFonts w:hint="eastAsia" w:ascii="仿宋" w:hAnsi="仿宋" w:eastAsia="仿宋" w:cs="仿宋"/>
          <w:color w:val="auto"/>
          <w:kern w:val="0"/>
          <w:highlight w:val="none"/>
        </w:rPr>
        <w:t xml:space="preserve">第三章  </w:t>
      </w:r>
      <w:r>
        <w:rPr>
          <w:rFonts w:hint="eastAsia" w:ascii="仿宋" w:hAnsi="仿宋" w:eastAsia="仿宋" w:cs="仿宋"/>
          <w:color w:val="auto"/>
          <w:kern w:val="0"/>
          <w:highlight w:val="none"/>
          <w:lang w:val="en-US" w:eastAsia="zh-CN"/>
        </w:rPr>
        <w:t>服务</w:t>
      </w:r>
      <w:r>
        <w:rPr>
          <w:rFonts w:hint="eastAsia" w:ascii="仿宋" w:hAnsi="仿宋" w:eastAsia="仿宋" w:cs="仿宋"/>
          <w:color w:val="auto"/>
          <w:kern w:val="0"/>
          <w:highlight w:val="none"/>
        </w:rPr>
        <w:t>内容及技术要求</w:t>
      </w:r>
      <w:bookmarkEnd w:id="60"/>
      <w:bookmarkEnd w:id="61"/>
      <w:bookmarkEnd w:id="62"/>
      <w:bookmarkStart w:id="63" w:name="_Toc458617745"/>
      <w:bookmarkStart w:id="64" w:name="_Toc458617468"/>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eastAsia="zh-CN"/>
        </w:rPr>
      </w:pPr>
      <w:bookmarkStart w:id="65" w:name="_Toc22491"/>
      <w:r>
        <w:rPr>
          <w:rFonts w:hint="eastAsia" w:ascii="仿宋" w:hAnsi="仿宋" w:eastAsia="仿宋" w:cs="仿宋"/>
          <w:b/>
          <w:bCs/>
          <w:color w:val="auto"/>
          <w:sz w:val="28"/>
          <w:szCs w:val="28"/>
          <w:highlight w:val="none"/>
          <w:lang w:val="en-US" w:eastAsia="zh-CN"/>
        </w:rPr>
        <w:t>一、</w:t>
      </w:r>
      <w:r>
        <w:rPr>
          <w:rFonts w:hint="eastAsia" w:ascii="仿宋" w:hAnsi="仿宋" w:eastAsia="仿宋" w:cs="仿宋"/>
          <w:b/>
          <w:bCs/>
          <w:color w:val="auto"/>
          <w:sz w:val="28"/>
          <w:szCs w:val="28"/>
          <w:highlight w:val="none"/>
          <w:lang w:eastAsia="zh-CN"/>
        </w:rPr>
        <w:t>项目概况</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渭河高陵段已建成工程包含：右岸7.988公里、左岸22.15公里、泾河入渭口堤防交通桥1.33公里、堤顶堤坡绿化</w:t>
      </w:r>
      <w:r>
        <w:rPr>
          <w:rFonts w:hint="eastAsia" w:ascii="仿宋" w:hAnsi="仿宋" w:eastAsia="仿宋" w:cs="仿宋"/>
          <w:color w:val="auto"/>
          <w:sz w:val="24"/>
          <w:szCs w:val="24"/>
          <w:highlight w:val="none"/>
          <w:lang w:val="en-US" w:eastAsia="zh-CN"/>
        </w:rPr>
        <w:t>1110445</w:t>
      </w:r>
      <w:r>
        <w:rPr>
          <w:rFonts w:hint="eastAsia" w:ascii="仿宋" w:hAnsi="仿宋" w:eastAsia="仿宋" w:cs="仿宋"/>
          <w:color w:val="auto"/>
          <w:sz w:val="24"/>
          <w:szCs w:val="24"/>
          <w:highlight w:val="none"/>
        </w:rPr>
        <w:t>㎡、防护林1400亩、北岸21万㎡的高坎绿化、道路交通工程及附属设施。</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lang w:eastAsia="zh-CN"/>
        </w:rPr>
        <w:t>服务内容</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渭河高陵段已建成工程维修养护项目分为4个标段，分别为：</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1、Ⅰ标段：渭河右岸灞桥与高陵交界处至210国道，长度：3km；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2、Ⅱ标段：渭河右岸210国道至临潼交界处，长度：5km；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3、Ⅲ标段：渭河左岸咸阳交界处至泾河入渭口大桥北桥头，长度：11.61km；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4、Ⅳ标段：渭河左岸泾河入渭口大桥北桥头至临潼交界处，长度：11.19km；</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default" w:ascii="仿宋" w:hAnsi="仿宋" w:eastAsia="仿宋" w:cs="仿宋"/>
          <w:color w:val="auto"/>
          <w:sz w:val="24"/>
          <w:szCs w:val="24"/>
          <w:highlight w:val="none"/>
          <w:lang w:val="en-US" w:eastAsia="zh-CN"/>
        </w:rPr>
      </w:pPr>
      <w:r>
        <w:rPr>
          <w:rFonts w:hint="default" w:ascii="仿宋" w:hAnsi="仿宋" w:eastAsia="仿宋" w:cs="仿宋"/>
          <w:color w:val="auto"/>
          <w:sz w:val="24"/>
          <w:szCs w:val="24"/>
          <w:highlight w:val="none"/>
          <w:lang w:val="en-US" w:eastAsia="zh-CN"/>
        </w:rPr>
        <w:t>其中堤顶道路交通工程及附属设施维护为不可预估费用，本次招标项目不可预估费用为：一标段114万元/年、二标段131万元/年、三标段157万元/年、四标段157万元/年。不可预估费结算以实际工程量为准，标段之间可以统筹使用；</w:t>
      </w:r>
      <w:r>
        <w:rPr>
          <w:rFonts w:hint="default" w:ascii="仿宋" w:hAnsi="仿宋" w:eastAsia="仿宋" w:cs="仿宋"/>
          <w:b/>
          <w:bCs/>
          <w:color w:val="auto"/>
          <w:sz w:val="24"/>
          <w:szCs w:val="24"/>
          <w:highlight w:val="none"/>
          <w:lang w:val="en-US" w:eastAsia="zh-CN"/>
        </w:rPr>
        <w:t>维修养护期为3年，合同一年一签，第二年、第三年参照每年养护计划的批复，以第一年为准，如遇变动双方按照政府相关规定解决。</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三、技术要求</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主要内容：堤顶日常保洁、景观绿化养护、堤防工程、防护林及管护设施维修，</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仿宋" w:hAnsi="仿宋" w:eastAsia="仿宋" w:cs="仿宋"/>
          <w:b w:val="0"/>
          <w:bCs w:val="0"/>
          <w:color w:val="auto"/>
          <w:sz w:val="24"/>
          <w:szCs w:val="24"/>
          <w:highlight w:val="none"/>
          <w:lang w:val="en-US" w:eastAsia="zh-CN"/>
        </w:rPr>
      </w:pPr>
      <w:r>
        <w:rPr>
          <w:rFonts w:hint="eastAsia" w:ascii="仿宋" w:hAnsi="仿宋" w:eastAsia="仿宋" w:cs="仿宋"/>
          <w:b w:val="0"/>
          <w:bCs w:val="0"/>
          <w:color w:val="auto"/>
          <w:sz w:val="24"/>
          <w:szCs w:val="24"/>
          <w:highlight w:val="none"/>
          <w:lang w:val="en-US" w:eastAsia="zh-CN"/>
        </w:rPr>
        <w:t>堤顶道路、交通工程及附属设施、堤顶日常巡查等。具体养护内容如下：</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堤顶日常保洁</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参照市财政投资评审中心评审结果：20-23m堤宽，每1000m配备一名保洁人员；30-35m堤宽，每800m配各一名保洁人员;49m堤宽，每500m配备一名保洁人员，聘用保洁人员共32名，配备统一保洁服装和工具。对渭河高陵段29.358km堤顶道路，园路、上堤路及堤坡进行日常保洁，定期对道路附属设施进行擦洗，保持堤顶、堤坡、防护栏整洁美观。</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景观绿化养护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主要养护内容：对渭河高陵段29.358km堤防的821850㎡的堤坡草皮及301345㎡顶景观绿化，根据养护标准，进行修剪、除杂草、施肥、浇灌、补植等养护工作。</w:t>
      </w:r>
    </w:p>
    <w:p>
      <w:pPr>
        <w:keepNext w:val="0"/>
        <w:keepLines w:val="0"/>
        <w:pageBreakBefore w:val="0"/>
        <w:widowControl w:val="0"/>
        <w:numPr>
          <w:ilvl w:val="0"/>
          <w:numId w:val="6"/>
        </w:numPr>
        <w:kinsoku/>
        <w:wordWrap/>
        <w:overflowPunct/>
        <w:topLinePunct w:val="0"/>
        <w:autoSpaceDE/>
        <w:autoSpaceDN/>
        <w:bidi w:val="0"/>
        <w:adjustRightInd/>
        <w:snapToGrid/>
        <w:spacing w:line="500" w:lineRule="exact"/>
        <w:ind w:leftChars="0" w:firstLine="64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堤防工程、防护林工程及管护设施维护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29.385km堤防的堤坡进行平整，整修迎背水侧堤肩、堤脚，组织人员定期排查堤防隐患；定期对限高架、标志牌、里程碑（柱）进行清洗、刷漆、维护等。对已建成130座雁翅坝及5000m³备防石进行维护，及时清理坝顶、坝坡及备防石顶高杆植物、杂物。对渭河高陵段1400亩防护林及北岸210000㎡高坎绿化，进行除草、浇灌、病虫害防治、清理枯枝杂草、刷白、推护井泵房、管道、变压器等设施。</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b/>
          <w:bCs/>
          <w:color w:val="auto"/>
          <w:sz w:val="24"/>
          <w:szCs w:val="24"/>
          <w:highlight w:val="none"/>
          <w:lang w:val="en-US" w:eastAsia="zh-CN"/>
        </w:rPr>
        <w:t xml:space="preserve">   4、堤顶道路交通工程及附属设施维护</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养护内容：对渭河高陵段南岸己成7,988km、北岸21,37km提顶道路工程进行日常养护，包括翻修部分损坏路面、处理表面裂缝、及时更换损环道牙等，保证道路工程设施完好，标志标线清晰，行车顺畅；对路面排水系统的集水井、排水管、出口渠道等进行定期检查。及时更换缺损盖，做好接缝处理，保证排水通畅：对支流入滑口桥进行推护，及时修补损坏桥面铺装，定期维修、清洗、油漆桥梁栏杆，及时更换损坏路灯、矫正灯杆；对沿线管护房，坐凳、垃圾桶进行维护、保洁。对已建成厕所配备专人进行维护、保洁：完善堤顶全线管护岗位牌、标识标志牌及安全警示牌。</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5、堤顶日常巡查</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主要内容：参照市财政投资评审中心评审结果：每1000m配备一名巡查人员，共29名，对渭河高陵段南岸7.988km、北岸21.37km堤顶工程设施安全、正常运行，确保无缺损破坏、被盗现象,无扰乱渭河秩序行为发生。（包括全年巡查人员工资及必备的遇查器具）。</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6、采购人项目管理费</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按照市财政投资评审中心的评审意见，经过测算各标段的采购人项目管理费分别为：一标段为2万，二标段为2.3万。三标段为3.2万，四标段为3.4万。此项费用应如数按标段列入投标报价中。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2" w:firstLineChars="200"/>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7、项目备用金</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备用金按照前六项费用总和的5%。投标报价时应将此项费用列入总报价中。</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四、服务要求</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维修养护服务方案详细、合理、内容全面。针对性强，分别对日常保洁、景观绿化养护、堤防工程、防护林工程及管护设施维护、堤顶道路交通及附属设施、堤顶日常巡查有具体方案。</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维修养护服务方案中人员数量配备充足、组织机构合理。</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养护作业工作组织方案及应急预案切实合理有效。</w:t>
      </w:r>
    </w:p>
    <w:p>
      <w:pPr>
        <w:keepNext w:val="0"/>
        <w:keepLines w:val="0"/>
        <w:pageBreakBefore w:val="0"/>
        <w:widowControl w:val="0"/>
        <w:numPr>
          <w:ilvl w:val="0"/>
          <w:numId w:val="7"/>
        </w:numPr>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维修养护服务方案所投入的维护设备、机具配置专业合理。</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五、维修养护标准</w:t>
      </w:r>
    </w:p>
    <w:p>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为加强渭河高陵段已建成工程维修养护项目管理，规范维修养护标准，巩固渭河综合治理建设成果，充分发挥工程效益，现制定渭河高陵段已建成工程维修养护项目标准如下:</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(一)堤顶绿化</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1、行道林</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1)行道林整齐美观，同树种株距统-。 树木无枯枝、无病虫害，存活率达到95%。</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2)树木补植更新、浇水、喷药、施肥、修剪及时。浇水坑、沟规整，树穴内无杂草、垃圾等杂物。</w:t>
      </w:r>
    </w:p>
    <w:p>
      <w:pPr>
        <w:keepNext w:val="0"/>
        <w:keepLines w:val="0"/>
        <w:pageBreakBefore w:val="0"/>
        <w:widowControl w:val="0"/>
        <w:numPr>
          <w:ilvl w:val="0"/>
          <w:numId w:val="8"/>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根据树木生长习性，对影响行人枝条酌情修剪。</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4)每年入冬前树木用石灰水刷白，高度1.3m,上面用红漆涂边，宽度3cm。</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2、花灌木</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1)灌木修剪、剥芽。根据花灌木品种生长习性进行修剪、剥芽(含脚芽)，无枯枝败叶，无修后枝叶残存或散落不清。</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2)绿篱修剪。修剪面整齐统一，目测一条线或光滑曲面，日常修剪及时到位，不脱脚，不得出现单枝(芽)超出5cm未剪现象。</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0"/>
          <w:highlight w:val="none"/>
        </w:rPr>
      </w:pPr>
      <w:r>
        <w:rPr>
          <w:rFonts w:hint="eastAsia" w:ascii="仿宋" w:hAnsi="仿宋" w:eastAsia="仿宋" w:cs="仿宋"/>
          <w:color w:val="auto"/>
          <w:sz w:val="24"/>
          <w:szCs w:val="24"/>
          <w:highlight w:val="none"/>
          <w:lang w:val="en-US" w:eastAsia="zh-CN"/>
        </w:rPr>
        <w:t>3)球类修剪。球形丰满、完整，球面光滑密实，无明显空洞，不得出现单枝（芽）超出5cm未剪现象。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3、地被草坪</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1修剪。根据不同地被、草坪品种，及时修剪，草高不超过10cm为宜，无杂草。草坪中的树坑、花坛边缘应切边，保持线条清晰，草皮整洁美观。</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2)覆盖率达98%以上，裸露面积小于20cm</w:t>
      </w:r>
      <w:r>
        <w:rPr>
          <w:rFonts w:hint="eastAsia" w:ascii="仿宋" w:hAnsi="仿宋" w:eastAsia="仿宋" w:cs="仿宋"/>
          <w:color w:val="auto"/>
          <w:sz w:val="24"/>
          <w:szCs w:val="24"/>
          <w:highlight w:val="none"/>
          <w:vertAlign w:val="superscript"/>
          <w:lang w:val="en-US" w:eastAsia="zh-CN"/>
        </w:rPr>
        <w:t>2</w:t>
      </w:r>
      <w:r>
        <w:rPr>
          <w:rFonts w:hint="eastAsia" w:ascii="仿宋" w:hAnsi="仿宋" w:eastAsia="仿宋" w:cs="仿宋"/>
          <w:color w:val="auto"/>
          <w:sz w:val="24"/>
          <w:szCs w:val="24"/>
          <w:highlight w:val="none"/>
          <w:lang w:val="en-US" w:eastAsia="zh-CN"/>
        </w:rPr>
        <w:t>以下，应给草坪生长创造良好条件，保持覆盖率无大范围长势衰退。</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(二)堤顶道路及附属设施</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1)堤项整沽无杂物、雨后无积水，路面无坑槽、裂缝、起伏、翻浆、脱皮、泛油、龟裂、啃边等现象，路面路缘整齐无损坏。</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2)排水系统齐全、畅通，无堵塞、破损现象。沟内杂草、杂物清理及时。</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3)支流入渭口桥梁路面无损坏、无积水，周边卫生整洁。护栏等附属设施保持完好，定期擦洗和维护。桥底周围整洁。无杂草垃圾，定期进行清理、保洁。</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4)路灯、电缆、配电设施、堤顶浇灌设备等基础设施无缺损破坏、被盗现象，功能齐全，使用正常。</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5)各类标志牌、警示牌、限高埋设坚固，标识清晰，醒目美观，无涂层脱落、无污损，无丢失和人为破坏现象。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6)对广场、雕塑、园路、石凳、垃圾桶等景观设施维护及时，定期检查清洗，发现问题及时修补和更换。</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7)备防石位置合理、摆放整齐，便于管理与抢险交通。无坍垛、杂草杂物，坝号、垛号、方量等标注清晰，备防石周边无散抛石。</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b/>
          <w:bCs/>
          <w:color w:val="auto"/>
          <w:sz w:val="24"/>
          <w:szCs w:val="24"/>
          <w:highlight w:val="none"/>
          <w:lang w:val="en-US" w:eastAsia="zh-CN"/>
        </w:rPr>
        <w:t>(三)堤坡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1)堤坡应保持原设计坡度，无残缺、水沟浪窝、陡坎、天井、洞穴、陷坑、杂物，无违章垦殖及取土现象。</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2)坡面平顺，沿断面10米范围内，凹凸面小于5cm.</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3)堤坡草坪应经常修剪，草高10cm为宜，草皮覆盖率达98%以上，无杂草。</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4)堤坡脚处地面平坦，10 米长度范围内凹凸不大于10cm, 堤脚线线直弧圆，平顺规整，明显、清晰。</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5)上堤辅道与堤坡交线顺直、整齐、分明。上堤辅道应保持完整、平顺、无沟坎、凹陷、无蚕食堤身、淤区现象，确保堤身完整。</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6)雁翅坝坝垛顶面平整，无裂缝、陷坑、洞穴，无乱石、堆石、杂物及高杆杂草匝数等，坝垛周边整洁。坝基牢固，无缺损、无坍塌、无松动。</w:t>
      </w:r>
    </w:p>
    <w:p>
      <w:pPr>
        <w:rPr>
          <w:rFonts w:hint="eastAsia" w:ascii="仿宋" w:hAnsi="仿宋" w:eastAsia="仿宋" w:cs="仿宋"/>
          <w:b/>
          <w:bCs/>
          <w:color w:val="auto"/>
          <w:kern w:val="0"/>
          <w:highlight w:val="none"/>
          <w:lang w:val="en-US" w:eastAsia="zh-CN"/>
        </w:rPr>
      </w:pPr>
    </w:p>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三标段</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2785"/>
        <w:gridCol w:w="1824"/>
        <w:gridCol w:w="1824"/>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序号</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名称</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单位</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工程量</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堤坡草皮养护</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315370</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如果死亡，按2元/m</w:t>
            </w:r>
            <w:r>
              <w:rPr>
                <w:rFonts w:hint="eastAsia" w:ascii="仿宋" w:hAnsi="仿宋" w:eastAsia="仿宋" w:cs="仿宋"/>
                <w:color w:val="auto"/>
                <w:kern w:val="0"/>
                <w:highlight w:val="none"/>
                <w:vertAlign w:val="superscript"/>
                <w:lang w:val="en-US" w:eastAsia="zh-CN"/>
              </w:rPr>
              <w:t>2</w:t>
            </w:r>
            <w:r>
              <w:rPr>
                <w:rFonts w:hint="eastAsia" w:ascii="仿宋" w:hAnsi="仿宋" w:eastAsia="仿宋" w:cs="仿宋"/>
                <w:color w:val="auto"/>
                <w:kern w:val="0"/>
                <w:highlight w:val="none"/>
                <w:vertAlign w:val="baseline"/>
                <w:lang w:val="en-US" w:eastAsia="zh-CN"/>
              </w:rPr>
              <w:t>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w:t>
            </w:r>
          </w:p>
        </w:tc>
        <w:tc>
          <w:tcPr>
            <w:tcW w:w="2785"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堤</w:t>
            </w:r>
            <w:r>
              <w:rPr>
                <w:rFonts w:hint="eastAsia" w:ascii="仿宋" w:hAnsi="仿宋" w:eastAsia="仿宋" w:cs="仿宋"/>
                <w:color w:val="auto"/>
                <w:kern w:val="0"/>
                <w:highlight w:val="none"/>
                <w:vertAlign w:val="baseline"/>
                <w:lang w:val="en-US" w:eastAsia="zh-CN"/>
              </w:rPr>
              <w:t>顶</w:t>
            </w:r>
            <w:r>
              <w:rPr>
                <w:rFonts w:hint="eastAsia" w:ascii="仿宋" w:hAnsi="仿宋" w:eastAsia="仿宋" w:cs="仿宋"/>
                <w:color w:val="auto"/>
                <w:kern w:val="0"/>
                <w:highlight w:val="none"/>
                <w:vertAlign w:val="baseline"/>
              </w:rPr>
              <w:t>景观绿化养护</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129486</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包含</w:t>
            </w:r>
            <w:r>
              <w:rPr>
                <w:rFonts w:hint="eastAsia" w:ascii="仿宋" w:hAnsi="仿宋" w:eastAsia="仿宋" w:cs="仿宋"/>
                <w:color w:val="auto"/>
                <w:kern w:val="0"/>
                <w:highlight w:val="none"/>
                <w:vertAlign w:val="baseline"/>
                <w:lang w:val="en-US" w:eastAsia="zh-CN"/>
              </w:rPr>
              <w:t>乔木养护约7945</w:t>
            </w:r>
            <w:r>
              <w:rPr>
                <w:rFonts w:hint="eastAsia" w:ascii="仿宋" w:hAnsi="仿宋" w:eastAsia="仿宋" w:cs="仿宋"/>
                <w:color w:val="auto"/>
                <w:kern w:val="0"/>
                <w:highlight w:val="none"/>
                <w:vertAlign w:val="baseline"/>
              </w:rPr>
              <w:t> (如</w:t>
            </w:r>
            <w:r>
              <w:rPr>
                <w:rFonts w:hint="eastAsia" w:ascii="仿宋" w:hAnsi="仿宋" w:eastAsia="仿宋" w:cs="仿宋"/>
                <w:color w:val="auto"/>
                <w:kern w:val="0"/>
                <w:highlight w:val="none"/>
                <w:vertAlign w:val="baseline"/>
              </w:rPr>
              <w:br w:type="textWrapping"/>
            </w:r>
            <w:r>
              <w:rPr>
                <w:rFonts w:hint="eastAsia" w:ascii="仿宋" w:hAnsi="仿宋" w:eastAsia="仿宋" w:cs="仿宋"/>
                <w:color w:val="auto"/>
                <w:kern w:val="0"/>
                <w:highlight w:val="none"/>
                <w:vertAlign w:val="baseline"/>
              </w:rPr>
              <w:t>果死亡，按100元/棵扣除费用)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防护林乔木养护</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棵</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47698</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如果死亡，按</w:t>
            </w:r>
            <w:r>
              <w:rPr>
                <w:rFonts w:hint="eastAsia" w:ascii="仿宋" w:hAnsi="仿宋" w:eastAsia="仿宋" w:cs="仿宋"/>
                <w:color w:val="auto"/>
                <w:kern w:val="0"/>
                <w:highlight w:val="none"/>
                <w:vertAlign w:val="baseline"/>
                <w:lang w:val="en-US" w:eastAsia="zh-CN"/>
              </w:rPr>
              <w:t>2</w:t>
            </w:r>
            <w:r>
              <w:rPr>
                <w:rFonts w:hint="eastAsia" w:ascii="仿宋" w:hAnsi="仿宋" w:eastAsia="仿宋" w:cs="仿宋"/>
                <w:color w:val="auto"/>
                <w:kern w:val="0"/>
                <w:highlight w:val="none"/>
                <w:vertAlign w:val="baseline"/>
              </w:rPr>
              <w:t>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4</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防护林除草</w:t>
            </w:r>
          </w:p>
        </w:tc>
        <w:tc>
          <w:tcPr>
            <w:tcW w:w="1824" w:type="dxa"/>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315798</w:t>
            </w:r>
          </w:p>
        </w:tc>
        <w:tc>
          <w:tcPr>
            <w:tcW w:w="1824"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5</w:t>
            </w:r>
          </w:p>
        </w:tc>
        <w:tc>
          <w:tcPr>
            <w:tcW w:w="2785"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保洁</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10</w:t>
            </w:r>
          </w:p>
        </w:tc>
        <w:tc>
          <w:tcPr>
            <w:tcW w:w="1824"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2785"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堤顶日常巡护</w:t>
            </w:r>
          </w:p>
        </w:tc>
        <w:tc>
          <w:tcPr>
            <w:tcW w:w="1824" w:type="dxa"/>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1824" w:type="dxa"/>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10</w:t>
            </w:r>
          </w:p>
        </w:tc>
        <w:tc>
          <w:tcPr>
            <w:tcW w:w="1824" w:type="dxa"/>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7</w:t>
            </w:r>
          </w:p>
        </w:tc>
        <w:tc>
          <w:tcPr>
            <w:tcW w:w="2785"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堤顶道路交通工程及附属设施维护（暂列金）</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1824" w:type="dxa"/>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157万元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8</w:t>
            </w:r>
          </w:p>
        </w:tc>
        <w:tc>
          <w:tcPr>
            <w:tcW w:w="2785"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采购人项目管理费</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1824" w:type="dxa"/>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3.2万元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9</w:t>
            </w:r>
          </w:p>
        </w:tc>
        <w:tc>
          <w:tcPr>
            <w:tcW w:w="2785"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项目备用金（以上8项费用总和的5%）</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1"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10</w:t>
            </w:r>
          </w:p>
        </w:tc>
        <w:tc>
          <w:tcPr>
            <w:tcW w:w="2785"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合计</w:t>
            </w: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1824" w:type="dxa"/>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r>
    </w:tbl>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注：1、堤顶道路交通工程及附属设施维护费（暂列金）按当季度市场价计取；</w:t>
      </w:r>
    </w:p>
    <w:p>
      <w:pPr>
        <w:ind w:firstLine="482" w:firstLineChars="200"/>
        <w:rPr>
          <w:rFonts w:hint="default"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2、项目备用金是含在投标报价中的一笔款项，属采购人所有，主要用于在合同期内无法预测而发生的费用，由采购人根据工作实际合理使用。</w:t>
      </w:r>
    </w:p>
    <w:p>
      <w:pPr>
        <w:rPr>
          <w:rFonts w:hint="eastAsia" w:ascii="仿宋" w:hAnsi="仿宋" w:eastAsia="仿宋" w:cs="仿宋"/>
          <w:color w:val="auto"/>
          <w:kern w:val="0"/>
          <w:highlight w:val="none"/>
        </w:rPr>
      </w:pPr>
    </w:p>
    <w:p>
      <w:pPr>
        <w:rPr>
          <w:rFonts w:hint="eastAsia" w:ascii="仿宋" w:hAnsi="仿宋" w:eastAsia="仿宋" w:cs="仿宋"/>
          <w:color w:val="auto"/>
          <w:kern w:val="0"/>
          <w:highlight w:val="none"/>
        </w:rPr>
      </w:pPr>
      <w:r>
        <w:rPr>
          <w:rFonts w:hint="eastAsia" w:ascii="仿宋" w:hAnsi="仿宋" w:eastAsia="仿宋" w:cs="仿宋"/>
          <w:color w:val="auto"/>
          <w:kern w:val="0"/>
          <w:highlight w:val="none"/>
        </w:rPr>
        <w:br w:type="page"/>
      </w:r>
    </w:p>
    <w:p>
      <w:pPr>
        <w:pStyle w:val="2"/>
        <w:rPr>
          <w:rFonts w:hint="eastAsia"/>
          <w:color w:val="auto"/>
          <w:highlight w:val="none"/>
        </w:rPr>
      </w:pPr>
    </w:p>
    <w:p>
      <w:pPr>
        <w:pStyle w:val="3"/>
        <w:spacing w:line="560" w:lineRule="exact"/>
        <w:jc w:val="center"/>
        <w:rPr>
          <w:rFonts w:hint="eastAsia" w:ascii="仿宋" w:hAnsi="仿宋" w:eastAsia="仿宋" w:cs="仿宋"/>
          <w:color w:val="auto"/>
          <w:highlight w:val="none"/>
        </w:rPr>
      </w:pPr>
      <w:r>
        <w:rPr>
          <w:rFonts w:hint="eastAsia" w:ascii="仿宋" w:hAnsi="仿宋" w:eastAsia="仿宋" w:cs="仿宋"/>
          <w:color w:val="auto"/>
          <w:kern w:val="0"/>
          <w:highlight w:val="none"/>
        </w:rPr>
        <w:t>第四章  商务要求</w:t>
      </w:r>
      <w:bookmarkEnd w:id="63"/>
      <w:bookmarkEnd w:id="64"/>
      <w:bookmarkEnd w:id="65"/>
    </w:p>
    <w:p>
      <w:pPr>
        <w:keepNext w:val="0"/>
        <w:keepLines w:val="0"/>
        <w:pageBreakBefore w:val="0"/>
        <w:widowControl w:val="0"/>
        <w:kinsoku/>
        <w:wordWrap/>
        <w:overflowPunct/>
        <w:topLinePunct w:val="0"/>
        <w:autoSpaceDE/>
        <w:autoSpaceDN/>
        <w:bidi w:val="0"/>
        <w:spacing w:line="640" w:lineRule="exact"/>
        <w:ind w:firstLine="482" w:firstLineChars="200"/>
        <w:textAlignment w:val="auto"/>
        <w:rPr>
          <w:rFonts w:hint="eastAsia" w:ascii="仿宋" w:hAnsi="仿宋" w:eastAsia="仿宋" w:cs="仿宋"/>
          <w:color w:val="auto"/>
          <w:szCs w:val="24"/>
          <w:highlight w:val="none"/>
        </w:rPr>
      </w:pPr>
      <w:r>
        <w:rPr>
          <w:rFonts w:hint="eastAsia" w:ascii="仿宋" w:hAnsi="仿宋" w:eastAsia="仿宋" w:cs="仿宋"/>
          <w:b/>
          <w:color w:val="auto"/>
          <w:szCs w:val="24"/>
          <w:highlight w:val="none"/>
        </w:rPr>
        <w:t>一、</w:t>
      </w:r>
      <w:r>
        <w:rPr>
          <w:rFonts w:hint="eastAsia" w:ascii="仿宋" w:hAnsi="仿宋" w:eastAsia="仿宋" w:cs="仿宋"/>
          <w:b/>
          <w:color w:val="auto"/>
          <w:szCs w:val="24"/>
          <w:highlight w:val="none"/>
          <w:lang w:val="en-US" w:eastAsia="zh-CN"/>
        </w:rPr>
        <w:t>服务期限</w:t>
      </w:r>
      <w:r>
        <w:rPr>
          <w:rFonts w:hint="eastAsia" w:ascii="仿宋" w:hAnsi="仿宋" w:eastAsia="仿宋" w:cs="仿宋"/>
          <w:b/>
          <w:color w:val="auto"/>
          <w:szCs w:val="24"/>
          <w:highlight w:val="none"/>
        </w:rPr>
        <w:t>及地点：</w:t>
      </w:r>
    </w:p>
    <w:p>
      <w:pPr>
        <w:keepNext w:val="0"/>
        <w:keepLines w:val="0"/>
        <w:pageBreakBefore w:val="0"/>
        <w:widowControl w:val="0"/>
        <w:kinsoku/>
        <w:wordWrap/>
        <w:overflowPunct/>
        <w:topLinePunct w:val="0"/>
        <w:autoSpaceDE/>
        <w:autoSpaceDN/>
        <w:bidi w:val="0"/>
        <w:adjustRightInd w:val="0"/>
        <w:snapToGrid w:val="0"/>
        <w:spacing w:line="640" w:lineRule="exact"/>
        <w:ind w:firstLine="600" w:firstLineChars="250"/>
        <w:textAlignment w:val="auto"/>
        <w:rPr>
          <w:rFonts w:hint="eastAsia" w:ascii="仿宋" w:hAnsi="仿宋" w:eastAsia="仿宋" w:cs="仿宋"/>
          <w:color w:val="auto"/>
          <w:szCs w:val="24"/>
          <w:highlight w:val="none"/>
        </w:rPr>
      </w:pPr>
      <w:bookmarkStart w:id="66" w:name="_Toc167715234"/>
      <w:bookmarkStart w:id="67" w:name="_Toc167714037"/>
      <w:bookmarkStart w:id="68" w:name="_Toc167712839"/>
      <w:r>
        <w:rPr>
          <w:rFonts w:hint="eastAsia" w:ascii="仿宋" w:hAnsi="仿宋" w:eastAsia="仿宋" w:cs="仿宋"/>
          <w:color w:val="auto"/>
          <w:szCs w:val="24"/>
          <w:highlight w:val="none"/>
        </w:rPr>
        <w:t xml:space="preserve">1、 </w:t>
      </w:r>
      <w:r>
        <w:rPr>
          <w:rFonts w:hint="eastAsia" w:ascii="仿宋" w:hAnsi="仿宋" w:eastAsia="仿宋" w:cs="仿宋"/>
          <w:color w:val="auto"/>
          <w:szCs w:val="24"/>
          <w:highlight w:val="none"/>
          <w:lang w:val="en-US" w:eastAsia="zh-CN"/>
        </w:rPr>
        <w:t>服务期限</w:t>
      </w:r>
      <w:r>
        <w:rPr>
          <w:rFonts w:hint="eastAsia" w:ascii="仿宋" w:hAnsi="仿宋" w:eastAsia="仿宋" w:cs="仿宋"/>
          <w:color w:val="auto"/>
          <w:szCs w:val="24"/>
          <w:highlight w:val="none"/>
        </w:rPr>
        <w:t>：</w:t>
      </w:r>
      <w:bookmarkEnd w:id="66"/>
      <w:bookmarkEnd w:id="67"/>
      <w:bookmarkEnd w:id="68"/>
      <w:r>
        <w:rPr>
          <w:rFonts w:hint="eastAsia" w:ascii="仿宋" w:hAnsi="仿宋" w:eastAsia="仿宋" w:cs="仿宋"/>
          <w:color w:val="auto"/>
          <w:szCs w:val="24"/>
          <w:highlight w:val="none"/>
          <w:lang w:eastAsia="zh-CN"/>
        </w:rPr>
        <w:t>自2023年1月1日至2025年12月31日（合同一年一签，第二年、第三年以第一年为准，如遇变更双方按照政府相关规定解决）</w:t>
      </w:r>
      <w:r>
        <w:rPr>
          <w:rFonts w:hint="eastAsia" w:ascii="仿宋" w:hAnsi="仿宋" w:eastAsia="仿宋" w:cs="仿宋"/>
          <w:color w:val="auto"/>
          <w:szCs w:val="24"/>
          <w:highlight w:val="none"/>
        </w:rPr>
        <w:t>。</w:t>
      </w:r>
    </w:p>
    <w:p>
      <w:pPr>
        <w:keepNext w:val="0"/>
        <w:keepLines w:val="0"/>
        <w:pageBreakBefore w:val="0"/>
        <w:widowControl w:val="0"/>
        <w:kinsoku/>
        <w:wordWrap/>
        <w:overflowPunct/>
        <w:topLinePunct w:val="0"/>
        <w:autoSpaceDE/>
        <w:autoSpaceDN/>
        <w:bidi w:val="0"/>
        <w:adjustRightInd w:val="0"/>
        <w:snapToGrid w:val="0"/>
        <w:spacing w:line="640" w:lineRule="exact"/>
        <w:ind w:firstLine="600" w:firstLineChars="25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2、 </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地点：</w:t>
      </w:r>
      <w:r>
        <w:rPr>
          <w:rFonts w:hint="eastAsia" w:ascii="仿宋" w:hAnsi="仿宋" w:eastAsia="仿宋" w:cs="仿宋"/>
          <w:color w:val="auto"/>
          <w:szCs w:val="24"/>
          <w:highlight w:val="none"/>
          <w:lang w:val="en-US" w:eastAsia="zh-CN"/>
        </w:rPr>
        <w:t>西安市</w:t>
      </w:r>
      <w:r>
        <w:rPr>
          <w:rFonts w:hint="eastAsia" w:ascii="仿宋" w:hAnsi="仿宋" w:eastAsia="仿宋" w:cs="仿宋"/>
          <w:color w:val="auto"/>
          <w:szCs w:val="24"/>
          <w:highlight w:val="none"/>
          <w:lang w:eastAsia="zh-CN"/>
        </w:rPr>
        <w:t>高陵区水务局</w:t>
      </w:r>
      <w:r>
        <w:rPr>
          <w:rFonts w:hint="eastAsia" w:ascii="仿宋" w:hAnsi="仿宋" w:eastAsia="仿宋" w:cs="仿宋"/>
          <w:color w:val="auto"/>
          <w:szCs w:val="24"/>
          <w:highlight w:val="none"/>
        </w:rPr>
        <w:t>指定地点。</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lang w:val="en-US" w:eastAsia="zh-CN"/>
        </w:rPr>
      </w:pPr>
      <w:bookmarkStart w:id="69" w:name="_Toc167712843"/>
      <w:bookmarkStart w:id="70" w:name="_Toc167715238"/>
      <w:bookmarkStart w:id="71" w:name="_Toc167714041"/>
      <w:bookmarkStart w:id="72" w:name="_Toc167712857"/>
      <w:bookmarkStart w:id="73" w:name="_Toc167715252"/>
      <w:bookmarkStart w:id="74" w:name="_Toc167714055"/>
      <w:r>
        <w:rPr>
          <w:rFonts w:hint="eastAsia" w:ascii="仿宋" w:hAnsi="仿宋" w:eastAsia="仿宋" w:cs="仿宋"/>
          <w:b/>
          <w:bCs/>
          <w:color w:val="auto"/>
          <w:szCs w:val="24"/>
          <w:highlight w:val="none"/>
        </w:rPr>
        <w:t>二、付款方式：</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kern w:val="2"/>
          <w:sz w:val="24"/>
          <w:szCs w:val="24"/>
          <w:highlight w:val="none"/>
          <w:lang w:val="en-US" w:eastAsia="zh-CN" w:bidi="ar-SA"/>
        </w:rPr>
        <w:t>合同签订后，按照季度进行支付，只支付季度人员工资（保洁、巡逻及绿化养护部分），其余维修工程经审计局审计后，一次性支付。</w:t>
      </w:r>
    </w:p>
    <w:bookmarkEnd w:id="69"/>
    <w:bookmarkEnd w:id="70"/>
    <w:bookmarkEnd w:id="71"/>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三、</w:t>
      </w:r>
      <w:r>
        <w:rPr>
          <w:rFonts w:hint="eastAsia" w:ascii="仿宋" w:hAnsi="仿宋" w:eastAsia="仿宋" w:cs="仿宋"/>
          <w:b/>
          <w:bCs/>
          <w:color w:val="auto"/>
          <w:szCs w:val="24"/>
          <w:highlight w:val="none"/>
          <w:lang w:eastAsia="zh-CN"/>
        </w:rPr>
        <w:t>质量保证</w:t>
      </w:r>
      <w:r>
        <w:rPr>
          <w:rFonts w:hint="eastAsia" w:ascii="仿宋" w:hAnsi="仿宋" w:eastAsia="仿宋" w:cs="仿宋"/>
          <w:b/>
          <w:bCs/>
          <w:color w:val="auto"/>
          <w:szCs w:val="24"/>
          <w:highlight w:val="none"/>
        </w:rPr>
        <w:t>：</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1、中标单位所提供的项目成果必须经采购人审核验收，符合采购人要求，并达到技术指标先进、质量可靠、配置合理，满足招标文件要求。</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2、服务的质量必须符合国家标准和有关规范，确保服务达到最佳使用要求。</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四、合同实施：</w:t>
      </w:r>
      <w:r>
        <w:rPr>
          <w:rFonts w:hint="eastAsia" w:ascii="仿宋" w:hAnsi="仿宋" w:eastAsia="仿宋" w:cs="仿宋"/>
          <w:color w:val="auto"/>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中标单位</w:t>
      </w:r>
      <w:r>
        <w:rPr>
          <w:rFonts w:hint="eastAsia" w:ascii="仿宋" w:hAnsi="仿宋" w:eastAsia="仿宋" w:cs="仿宋"/>
          <w:color w:val="auto"/>
          <w:szCs w:val="24"/>
          <w:highlight w:val="none"/>
        </w:rPr>
        <w:t>应在合同签订后</w:t>
      </w: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个</w:t>
      </w:r>
      <w:r>
        <w:rPr>
          <w:rFonts w:hint="eastAsia" w:ascii="仿宋" w:hAnsi="仿宋" w:eastAsia="仿宋" w:cs="仿宋"/>
          <w:color w:val="auto"/>
          <w:szCs w:val="24"/>
          <w:highlight w:val="none"/>
          <w:lang w:eastAsia="zh-CN"/>
        </w:rPr>
        <w:t>工作日</w:t>
      </w:r>
      <w:r>
        <w:rPr>
          <w:rFonts w:hint="eastAsia" w:ascii="仿宋" w:hAnsi="仿宋" w:eastAsia="仿宋" w:cs="仿宋"/>
          <w:color w:val="auto"/>
          <w:szCs w:val="24"/>
          <w:highlight w:val="none"/>
        </w:rPr>
        <w:t>内安排人员（项目组成人员简历表所列）与</w:t>
      </w:r>
      <w:r>
        <w:rPr>
          <w:rFonts w:hint="eastAsia" w:ascii="仿宋" w:hAnsi="仿宋" w:eastAsia="仿宋" w:cs="仿宋"/>
          <w:color w:val="auto"/>
          <w:szCs w:val="24"/>
          <w:highlight w:val="none"/>
          <w:lang w:val="en-US" w:eastAsia="zh-CN"/>
        </w:rPr>
        <w:t>采购人</w:t>
      </w:r>
      <w:r>
        <w:rPr>
          <w:rFonts w:hint="eastAsia" w:ascii="仿宋" w:hAnsi="仿宋" w:eastAsia="仿宋" w:cs="仿宋"/>
          <w:color w:val="auto"/>
          <w:szCs w:val="24"/>
          <w:highlight w:val="none"/>
        </w:rPr>
        <w:t>就</w:t>
      </w:r>
      <w:r>
        <w:rPr>
          <w:rFonts w:hint="eastAsia" w:ascii="仿宋" w:hAnsi="仿宋" w:eastAsia="仿宋" w:cs="仿宋"/>
          <w:color w:val="auto"/>
          <w:szCs w:val="24"/>
          <w:highlight w:val="none"/>
          <w:lang w:eastAsia="zh-CN"/>
        </w:rPr>
        <w:t>项目</w:t>
      </w:r>
      <w:r>
        <w:rPr>
          <w:rFonts w:hint="eastAsia" w:ascii="仿宋" w:hAnsi="仿宋" w:eastAsia="仿宋" w:cs="仿宋"/>
          <w:color w:val="auto"/>
          <w:szCs w:val="24"/>
          <w:highlight w:val="none"/>
        </w:rPr>
        <w:t>实施等工作进行安排、部署。</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2、若未能在</w:t>
      </w:r>
      <w:r>
        <w:rPr>
          <w:rFonts w:hint="eastAsia" w:ascii="仿宋" w:hAnsi="仿宋" w:eastAsia="仿宋" w:cs="仿宋"/>
          <w:color w:val="auto"/>
          <w:szCs w:val="24"/>
          <w:highlight w:val="none"/>
          <w:lang w:eastAsia="zh-CN"/>
        </w:rPr>
        <w:t>服务期</w:t>
      </w:r>
      <w:r>
        <w:rPr>
          <w:rFonts w:hint="eastAsia" w:ascii="仿宋" w:hAnsi="仿宋" w:eastAsia="仿宋" w:cs="仿宋"/>
          <w:color w:val="auto"/>
          <w:szCs w:val="24"/>
          <w:highlight w:val="none"/>
        </w:rPr>
        <w:t>内完成合同规定的义务，由此对采购人造成的延误和一切损失，由</w:t>
      </w:r>
      <w:r>
        <w:rPr>
          <w:rFonts w:hint="eastAsia" w:ascii="仿宋" w:hAnsi="仿宋" w:eastAsia="仿宋" w:cs="仿宋"/>
          <w:color w:val="auto"/>
          <w:szCs w:val="24"/>
          <w:highlight w:val="none"/>
          <w:lang w:val="en-US" w:eastAsia="zh-CN"/>
        </w:rPr>
        <w:t>中标单位</w:t>
      </w:r>
      <w:r>
        <w:rPr>
          <w:rFonts w:hint="eastAsia" w:ascii="仿宋" w:hAnsi="仿宋" w:eastAsia="仿宋" w:cs="仿宋"/>
          <w:color w:val="auto"/>
          <w:szCs w:val="24"/>
          <w:highlight w:val="none"/>
        </w:rPr>
        <w:t>承担和赔偿。</w:t>
      </w:r>
    </w:p>
    <w:p>
      <w:pPr>
        <w:keepNext w:val="0"/>
        <w:keepLines w:val="0"/>
        <w:pageBreakBefore w:val="0"/>
        <w:widowControl w:val="0"/>
        <w:kinsoku/>
        <w:wordWrap/>
        <w:overflowPunct/>
        <w:topLinePunct w:val="0"/>
        <w:autoSpaceDE/>
        <w:autoSpaceDN/>
        <w:bidi w:val="0"/>
        <w:adjustRightInd w:val="0"/>
        <w:snapToGrid/>
        <w:spacing w:line="560" w:lineRule="exact"/>
        <w:ind w:firstLine="482" w:firstLineChars="200"/>
        <w:textAlignment w:val="auto"/>
        <w:rPr>
          <w:rFonts w:hint="eastAsia" w:ascii="仿宋" w:hAnsi="仿宋" w:eastAsia="仿宋" w:cs="仿宋"/>
          <w:b/>
          <w:bCs/>
          <w:color w:val="auto"/>
          <w:szCs w:val="24"/>
          <w:highlight w:val="none"/>
          <w:lang w:eastAsia="zh-CN"/>
        </w:rPr>
      </w:pPr>
      <w:r>
        <w:rPr>
          <w:rFonts w:hint="eastAsia" w:ascii="仿宋" w:hAnsi="仿宋" w:eastAsia="仿宋" w:cs="仿宋"/>
          <w:b/>
          <w:bCs/>
          <w:color w:val="auto"/>
          <w:szCs w:val="24"/>
          <w:highlight w:val="none"/>
          <w:lang w:eastAsia="zh-CN"/>
        </w:rPr>
        <w:t>五</w:t>
      </w:r>
      <w:r>
        <w:rPr>
          <w:rFonts w:hint="eastAsia" w:ascii="仿宋" w:hAnsi="仿宋" w:eastAsia="仿宋" w:cs="仿宋"/>
          <w:b/>
          <w:bCs/>
          <w:color w:val="auto"/>
          <w:szCs w:val="24"/>
          <w:highlight w:val="none"/>
        </w:rPr>
        <w:t>、违约责任</w:t>
      </w:r>
      <w:r>
        <w:rPr>
          <w:rFonts w:hint="eastAsia" w:ascii="仿宋" w:hAnsi="仿宋" w:eastAsia="仿宋" w:cs="仿宋"/>
          <w:b/>
          <w:bCs/>
          <w:color w:val="auto"/>
          <w:szCs w:val="24"/>
          <w:highlight w:val="none"/>
          <w:lang w:eastAsia="zh-CN"/>
        </w:rPr>
        <w:t>：</w:t>
      </w:r>
    </w:p>
    <w:p>
      <w:pPr>
        <w:keepNext w:val="0"/>
        <w:keepLines w:val="0"/>
        <w:pageBreakBefore w:val="0"/>
        <w:widowControl w:val="0"/>
        <w:kinsoku/>
        <w:wordWrap/>
        <w:overflowPunct/>
        <w:topLinePunct w:val="0"/>
        <w:autoSpaceDE/>
        <w:autoSpaceDN/>
        <w:bidi w:val="0"/>
        <w:adjustRightInd w:val="0"/>
        <w:snapToGrid/>
        <w:spacing w:line="560" w:lineRule="exact"/>
        <w:ind w:firstLine="480" w:firstLineChars="2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1、按《中华人民共和国</w:t>
      </w:r>
      <w:r>
        <w:rPr>
          <w:rFonts w:hint="eastAsia" w:ascii="仿宋" w:hAnsi="仿宋" w:eastAsia="仿宋" w:cs="仿宋"/>
          <w:color w:val="auto"/>
          <w:szCs w:val="24"/>
          <w:highlight w:val="none"/>
          <w:lang w:eastAsia="zh-CN"/>
        </w:rPr>
        <w:t>民法典</w:t>
      </w:r>
      <w:r>
        <w:rPr>
          <w:rFonts w:hint="eastAsia" w:ascii="仿宋" w:hAnsi="仿宋" w:eastAsia="仿宋" w:cs="仿宋"/>
          <w:color w:val="auto"/>
          <w:szCs w:val="24"/>
          <w:highlight w:val="none"/>
        </w:rPr>
        <w:t>》中的相关条款执行。</w:t>
      </w:r>
    </w:p>
    <w:p>
      <w:pPr>
        <w:keepNext w:val="0"/>
        <w:keepLines w:val="0"/>
        <w:pageBreakBefore w:val="0"/>
        <w:widowControl w:val="0"/>
        <w:kinsoku/>
        <w:wordWrap/>
        <w:overflowPunct/>
        <w:topLinePunct w:val="0"/>
        <w:autoSpaceDE/>
        <w:autoSpaceDN/>
        <w:bidi w:val="0"/>
        <w:adjustRightInd w:val="0"/>
        <w:snapToGrid w:val="0"/>
        <w:spacing w:line="640" w:lineRule="exact"/>
        <w:ind w:firstLine="472" w:firstLineChars="196"/>
        <w:textAlignment w:val="auto"/>
        <w:rPr>
          <w:rFonts w:hint="eastAsia" w:ascii="仿宋" w:hAnsi="仿宋" w:eastAsia="仿宋" w:cs="仿宋"/>
          <w:color w:val="auto"/>
          <w:kern w:val="0"/>
          <w:szCs w:val="24"/>
          <w:highlight w:val="none"/>
        </w:rPr>
      </w:pPr>
      <w:r>
        <w:rPr>
          <w:rFonts w:hint="eastAsia" w:ascii="仿宋" w:hAnsi="仿宋" w:eastAsia="仿宋" w:cs="仿宋"/>
          <w:b/>
          <w:color w:val="auto"/>
          <w:highlight w:val="none"/>
        </w:rPr>
        <w:pict>
          <v:shape id="_x0000_s1027" o:spid="_x0000_s1027" o:spt="202" type="#_x0000_t202" style="position:absolute;left:0pt;margin-left:-8pt;margin-top:70.85pt;height:38.85pt;width:432.1pt;mso-wrap-distance-bottom:0pt;mso-wrap-distance-left:9pt;mso-wrap-distance-right:9pt;mso-wrap-distance-top:0pt;z-index:251661312;mso-width-relative:page;mso-height-relative:page;" coordsize="21600,21600" o:gfxdata="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bmzCkNcAAAAIAQAADwAAAAAAAAABACAAAAAiAAAAZHJzL2Rvd25yZXYueG1sUEsB&#10;AhQAFAAAAAgAh07iQDFgcG72AQAAEAQAAA4AAAAAAAAAAQAgAAAAJgEAAGRycy9lMm9Eb2MueG1s&#10;UEsFBgAAAAAGAAYAWQEAAI4FAAAAAA==&#10;">
            <v:path/>
            <v:fill focussize="0,0"/>
            <v:stroke joinstyle="miter"/>
            <v:imagedata o:title=""/>
            <o:lock v:ext="edit"/>
            <v:textbox>
              <w:txbxContent>
                <w:p>
                  <w:pPr>
                    <w:tabs>
                      <w:tab w:val="left" w:pos="3485"/>
                    </w:tabs>
                    <w:spacing w:line="520" w:lineRule="exact"/>
                    <w:jc w:val="center"/>
                    <w:rPr>
                      <w:rFonts w:hint="eastAsia" w:ascii="仿宋" w:hAnsi="仿宋" w:eastAsia="仿宋" w:cs="仿宋"/>
                      <w:b/>
                      <w:sz w:val="32"/>
                      <w:szCs w:val="32"/>
                    </w:rPr>
                  </w:pPr>
                  <w:r>
                    <w:rPr>
                      <w:rFonts w:hint="eastAsia" w:ascii="仿宋" w:hAnsi="仿宋" w:eastAsia="仿宋" w:cs="仿宋"/>
                      <w:b/>
                      <w:sz w:val="32"/>
                      <w:szCs w:val="32"/>
                    </w:rPr>
                    <w:t>注：商务要求为实质性要求，不得负偏离。</w:t>
                  </w:r>
                </w:p>
              </w:txbxContent>
            </v:textbox>
            <w10:wrap type="square"/>
          </v:shape>
        </w:pict>
      </w:r>
      <w:r>
        <w:rPr>
          <w:rFonts w:hint="eastAsia" w:ascii="仿宋" w:hAnsi="仿宋" w:eastAsia="仿宋" w:cs="仿宋"/>
          <w:color w:val="auto"/>
          <w:szCs w:val="24"/>
          <w:highlight w:val="none"/>
        </w:rPr>
        <w:t>2、按合同要求提供服务或服务质量不能满足技术要求，采购人有权终止合同，并对供方违约行为进行追究，同时按《政府采购法》的有关规定进行处罚。</w:t>
      </w:r>
    </w:p>
    <w:bookmarkEnd w:id="72"/>
    <w:bookmarkEnd w:id="73"/>
    <w:bookmarkEnd w:id="74"/>
    <w:p>
      <w:pPr>
        <w:pStyle w:val="3"/>
        <w:spacing w:line="560" w:lineRule="exact"/>
        <w:jc w:val="center"/>
        <w:rPr>
          <w:rFonts w:hint="eastAsia" w:ascii="仿宋" w:hAnsi="仿宋" w:eastAsia="仿宋" w:cs="仿宋"/>
          <w:b/>
          <w:bCs w:val="0"/>
          <w:color w:val="auto"/>
          <w:kern w:val="2"/>
          <w:sz w:val="18"/>
          <w:szCs w:val="18"/>
          <w:highlight w:val="none"/>
          <w:u w:val="none" w:color="FF0000"/>
          <w:lang w:val="en-US" w:eastAsia="zh-CN" w:bidi="ar-SA"/>
        </w:rPr>
      </w:pPr>
      <w:bookmarkStart w:id="75" w:name="_Toc5308"/>
      <w:bookmarkStart w:id="76" w:name="_Toc458617469"/>
      <w:bookmarkStart w:id="77" w:name="_Toc458617746"/>
      <w:r>
        <w:rPr>
          <w:rFonts w:hint="eastAsia" w:ascii="仿宋" w:hAnsi="仿宋" w:eastAsia="仿宋" w:cs="仿宋"/>
          <w:color w:val="auto"/>
          <w:highlight w:val="none"/>
        </w:rPr>
        <w:t>第五章  合同条款</w:t>
      </w:r>
      <w:bookmarkEnd w:id="75"/>
      <w:bookmarkEnd w:id="76"/>
      <w:bookmarkEnd w:id="77"/>
      <w:r>
        <w:rPr>
          <w:rFonts w:hint="eastAsia" w:ascii="仿宋" w:hAnsi="仿宋" w:eastAsia="仿宋" w:cs="仿宋"/>
          <w:color w:val="auto"/>
          <w:highlight w:val="none"/>
          <w:lang w:eastAsia="zh-CN"/>
        </w:rPr>
        <w:t>（</w:t>
      </w:r>
      <w:r>
        <w:rPr>
          <w:rFonts w:hint="eastAsia" w:ascii="仿宋" w:hAnsi="仿宋" w:eastAsia="仿宋" w:cs="仿宋"/>
          <w:color w:val="auto"/>
          <w:highlight w:val="none"/>
          <w:lang w:val="en-US" w:eastAsia="zh-CN"/>
        </w:rPr>
        <w:t>参考格式</w:t>
      </w:r>
      <w:r>
        <w:rPr>
          <w:rFonts w:hint="eastAsia" w:ascii="仿宋" w:hAnsi="仿宋" w:eastAsia="仿宋" w:cs="仿宋"/>
          <w:color w:val="auto"/>
          <w:highlight w:val="none"/>
          <w:lang w:eastAsia="zh-CN"/>
        </w:rPr>
        <w:t>）</w:t>
      </w:r>
    </w:p>
    <w:p>
      <w:pPr>
        <w:keepNext w:val="0"/>
        <w:keepLines w:val="0"/>
        <w:pageBreakBefore w:val="0"/>
        <w:kinsoku/>
        <w:overflowPunct/>
        <w:bidi w:val="0"/>
        <w:spacing w:line="240" w:lineRule="auto"/>
        <w:jc w:val="center"/>
        <w:textAlignment w:val="auto"/>
        <w:rPr>
          <w:rFonts w:hint="eastAsia" w:ascii="仿宋" w:hAnsi="仿宋" w:eastAsia="仿宋" w:cs="仿宋"/>
          <w:b/>
          <w:bCs/>
          <w:color w:val="auto"/>
          <w:sz w:val="28"/>
          <w:szCs w:val="28"/>
          <w:highlight w:val="none"/>
        </w:rPr>
      </w:pPr>
    </w:p>
    <w:p>
      <w:pPr>
        <w:keepNext w:val="0"/>
        <w:keepLines w:val="0"/>
        <w:pageBreakBefore w:val="0"/>
        <w:kinsoku/>
        <w:overflowPunct/>
        <w:bidi w:val="0"/>
        <w:spacing w:line="640" w:lineRule="exact"/>
        <w:jc w:val="center"/>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水利工程维修养护合同</w:t>
      </w:r>
      <w:r>
        <w:rPr>
          <w:rFonts w:hint="eastAsia" w:ascii="仿宋" w:hAnsi="仿宋" w:eastAsia="仿宋" w:cs="仿宋"/>
          <w:b/>
          <w:bCs/>
          <w:color w:val="auto"/>
          <w:sz w:val="28"/>
          <w:szCs w:val="28"/>
          <w:highlight w:val="none"/>
          <w:lang w:eastAsia="zh-CN"/>
        </w:rPr>
        <w:t>（</w:t>
      </w:r>
      <w:r>
        <w:rPr>
          <w:rFonts w:hint="eastAsia" w:ascii="仿宋" w:hAnsi="仿宋" w:eastAsia="仿宋" w:cs="仿宋"/>
          <w:b/>
          <w:bCs/>
          <w:color w:val="auto"/>
          <w:sz w:val="28"/>
          <w:szCs w:val="28"/>
          <w:highlight w:val="none"/>
          <w:lang w:val="en-US" w:eastAsia="zh-CN"/>
        </w:rPr>
        <w:t>该项目为固定单价合同</w:t>
      </w:r>
      <w:r>
        <w:rPr>
          <w:rFonts w:hint="eastAsia" w:ascii="仿宋" w:hAnsi="仿宋" w:eastAsia="仿宋" w:cs="仿宋"/>
          <w:b/>
          <w:bCs/>
          <w:color w:val="auto"/>
          <w:sz w:val="28"/>
          <w:szCs w:val="28"/>
          <w:highlight w:val="none"/>
          <w:lang w:eastAsia="zh-CN"/>
        </w:rPr>
        <w:t>）</w:t>
      </w:r>
    </w:p>
    <w:p>
      <w:pPr>
        <w:keepNext w:val="0"/>
        <w:keepLines w:val="0"/>
        <w:pageBreakBefore w:val="0"/>
        <w:kinsoku/>
        <w:overflowPunct/>
        <w:bidi w:val="0"/>
        <w:spacing w:line="640" w:lineRule="exact"/>
        <w:ind w:firstLine="240" w:firstLineChars="1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rPr>
        <w:t>合同编号:</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default" w:ascii="仿宋" w:hAnsi="仿宋" w:eastAsia="仿宋" w:cs="仿宋"/>
          <w:color w:val="auto"/>
          <w:szCs w:val="24"/>
          <w:highlight w:val="none"/>
          <w:lang w:val="en-US" w:eastAsia="zh-CN"/>
        </w:rPr>
      </w:pPr>
      <w:r>
        <w:rPr>
          <w:rFonts w:hint="eastAsia" w:ascii="仿宋" w:hAnsi="仿宋" w:eastAsia="仿宋" w:cs="仿宋"/>
          <w:color w:val="auto"/>
          <w:szCs w:val="24"/>
          <w:highlight w:val="none"/>
        </w:rPr>
        <w:t>发包人:</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承包人:</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240" w:firstLineChars="100"/>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维修养护工程名称:</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ind w:firstLine="480" w:firstLineChars="200"/>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依据(中华人民共和国</w:t>
      </w:r>
      <w:r>
        <w:rPr>
          <w:rFonts w:hint="eastAsia" w:ascii="仿宋" w:hAnsi="仿宋" w:eastAsia="仿宋" w:cs="仿宋"/>
          <w:color w:val="auto"/>
          <w:szCs w:val="24"/>
          <w:highlight w:val="none"/>
          <w:lang w:val="en-US" w:eastAsia="zh-CN"/>
        </w:rPr>
        <w:t>民典</w:t>
      </w:r>
      <w:r>
        <w:rPr>
          <w:rFonts w:hint="eastAsia" w:ascii="仿宋" w:hAnsi="仿宋" w:eastAsia="仿宋" w:cs="仿宋"/>
          <w:color w:val="auto"/>
          <w:szCs w:val="24"/>
          <w:highlight w:val="none"/>
        </w:rPr>
        <w:t>法》</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(以下简称发包人)与</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(以下简称承包人)就</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工程维修养护工作的有关事项， 经双方协商</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致， 订立本合同，合同总金额为人民币(大写)</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元。</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一、本合同的的词语涵义与下述第二条所列的通用条款中的词语涵义相同。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二、本合同的组成文件及解释顺序为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1.合同(包括补充合同和协议)</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2.中标通知书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3.招标文件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 专用合同条款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5.通用合同条款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6.技术条款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7. 组成合同的其它文件。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上列合同文件为一整体，代替了本合同签订前双方所签订的所有协议、会谈纪要以及相互承诺的一切文件。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三、承包人保证按照合同约定，全面完成各项承包工作，并承担合同约定的全部义务和责任。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四、发包人保证按照合同约定付款，并承担合同约定的全部义务和责任。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五、本合同经双方法定代表人或委托代理人签名并加盖本单位公章后生效。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六、本合同正本一式两份，双方各执份，具有同等法律效力。副本</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份，其中:发包人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份，承包人</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发包人(公章)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承包人(公章)</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法定代表人(签章)</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法定代表人(签章)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委托代理人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委托代理人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电话</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电话</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传真</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传真</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地址：</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lang w:val="en-US" w:eastAsia="zh-CN"/>
        </w:rPr>
        <w:t>地址：</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邮政编码</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邮政编码</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开户银行</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开户银行</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帐号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帐号</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签订地点</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t xml:space="preserve">      </w:t>
      </w:r>
      <w:r>
        <w:rPr>
          <w:rFonts w:hint="eastAsia" w:ascii="仿宋" w:hAnsi="仿宋" w:eastAsia="仿宋" w:cs="仿宋"/>
          <w:color w:val="auto"/>
          <w:szCs w:val="24"/>
          <w:highlight w:val="none"/>
        </w:rPr>
        <w:t>签订地点</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 xml:space="preserve">  月  日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lang w:val="en-US" w:eastAsia="zh-CN"/>
        </w:rPr>
        <w:t xml:space="preserve">  月  日</w:t>
      </w: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p>
    <w:p>
      <w:pPr>
        <w:keepNext w:val="0"/>
        <w:keepLines w:val="0"/>
        <w:pageBreakBefore w:val="0"/>
        <w:kinsoku/>
        <w:overflowPunct/>
        <w:bidi w:val="0"/>
        <w:spacing w:line="640" w:lineRule="exact"/>
        <w:textAlignment w:val="auto"/>
        <w:rPr>
          <w:rFonts w:hint="eastAsia" w:ascii="仿宋" w:hAnsi="仿宋" w:eastAsia="仿宋" w:cs="仿宋"/>
          <w:color w:val="auto"/>
          <w:szCs w:val="24"/>
          <w:highlight w:val="none"/>
        </w:rPr>
      </w:pPr>
    </w:p>
    <w:p>
      <w:pPr>
        <w:jc w:val="center"/>
        <w:rPr>
          <w:rFonts w:hint="eastAsia" w:ascii="仿宋" w:hAnsi="仿宋" w:eastAsia="仿宋" w:cs="仿宋"/>
          <w:color w:val="auto"/>
          <w:szCs w:val="24"/>
          <w:highlight w:val="none"/>
        </w:rPr>
      </w:pPr>
      <w:r>
        <w:rPr>
          <w:rFonts w:hint="eastAsia" w:ascii="仿宋" w:hAnsi="仿宋" w:eastAsia="仿宋" w:cs="仿宋"/>
          <w:color w:val="auto"/>
          <w:szCs w:val="24"/>
          <w:highlight w:val="none"/>
        </w:rPr>
        <w:br w:type="page"/>
      </w:r>
      <w:r>
        <w:rPr>
          <w:rFonts w:hint="eastAsia" w:ascii="仿宋" w:hAnsi="仿宋" w:eastAsia="仿宋" w:cs="仿宋"/>
          <w:b/>
          <w:bCs/>
          <w:color w:val="auto"/>
          <w:sz w:val="28"/>
          <w:szCs w:val="28"/>
          <w:highlight w:val="none"/>
        </w:rPr>
        <w:t>通用合同条款</w:t>
      </w:r>
    </w:p>
    <w:p>
      <w:pPr>
        <w:pStyle w:val="2"/>
        <w:rPr>
          <w:rFonts w:hint="eastAsia"/>
          <w:color w:val="auto"/>
          <w:highlight w:val="none"/>
        </w:rPr>
      </w:pP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b/>
          <w:bCs/>
          <w:color w:val="auto"/>
          <w:szCs w:val="24"/>
          <w:highlight w:val="none"/>
        </w:rPr>
        <w:t>词语涵义及合同文件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第1条词语涵义。除专用合同条款另有约定外，合同中用词用语具有本条所赋予的涵义</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1</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发包人:指专用合同条款中写明的当事人。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1.2承包人:指专用条款写明的与发包人正式签署合同的当事人。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1.3发包人代表:指发包人履行本合同的全权负责人。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1.4承包人代表:指承包人履行本合同的全权负责人。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1.5合同:指由发包人与承包人为完成商定的工程维修养护工作，明确相互权利、义务关系的协议</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1.6投标文件:指承包人为完成本合同规定的各项工作，向发包人提交的投标总报价及承诺招标文件规定条件和要求的文件。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1.7中标通知书:指发包人正式向承包人授标的通知书。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1.8工程维修养护:指对工程的安全检查、日常巡查、防护、保养、维修，维持、恢复或局部改善原有工程面貌。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1.9合同价格:指合同中写明的为完成合同规定的各项工作应付给承包人的总金额。</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1.10费用:指为实施本合同所发生的所有开支。包括管理费和分摊的其它费用。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w:t>
      </w:r>
      <w:r>
        <w:rPr>
          <w:rFonts w:hint="eastAsia" w:ascii="仿宋" w:hAnsi="仿宋" w:eastAsia="仿宋" w:cs="仿宋"/>
          <w:color w:val="auto"/>
          <w:szCs w:val="24"/>
          <w:highlight w:val="none"/>
        </w:rPr>
        <w:t>11承包期:指承包工程维修养护工作的历时。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1.12天:指日历天。</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1.13书面形式:指任何手写、打印、印刷的各种函件，包括电报、电传、传真和电子邮件。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1.14不可抗力:指台风、超常洪水、地震等自然灾害和罢工、战争等异常现象以及政府颁布新政策、法律和采取新措施导致合同无法履行的不可预见、不可避免并不能克服的客观情况。</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第2条合同文件组成合同的各项文件应能相互解释，互为说明。当合同文件出现含糊不清或不一致时，除专用合同另有约定外，解释合同文件的优先顺序如下</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 1合同(包括补充合同或协议)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 2中标通知书</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2.3招标文件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4专用合同条款.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5通用合同条款。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6技术条款。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7组成合同的其它文件。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第3条合同使用的语言文字和适用法律</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3.1本合同使用的语言文字为汉语或专用合同条款约定的其他语言。</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2本合同适用的法律包括国家法律、行政法规和水利部、</w:t>
      </w:r>
      <w:r>
        <w:rPr>
          <w:rFonts w:hint="eastAsia" w:ascii="仿宋" w:hAnsi="仿宋" w:eastAsia="仿宋" w:cs="仿宋"/>
          <w:color w:val="auto"/>
          <w:szCs w:val="24"/>
          <w:highlight w:val="none"/>
          <w:lang w:val="en-US" w:eastAsia="zh-CN"/>
        </w:rPr>
        <w:t>黄河水利委员会</w:t>
      </w:r>
      <w:r>
        <w:rPr>
          <w:rFonts w:hint="eastAsia" w:ascii="仿宋" w:hAnsi="仿宋" w:eastAsia="仿宋" w:cs="仿宋"/>
          <w:color w:val="auto"/>
          <w:szCs w:val="24"/>
          <w:highlight w:val="none"/>
        </w:rPr>
        <w:t>的规章</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以及工程所在地的地方性法规和规章。</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3施工中必须使用技术条款规定或专用合同条款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定的国家和行业标准以及</w:t>
      </w:r>
      <w:r>
        <w:rPr>
          <w:rFonts w:hint="eastAsia" w:ascii="仿宋" w:hAnsi="仿宋" w:eastAsia="仿宋" w:cs="仿宋"/>
          <w:color w:val="auto"/>
          <w:szCs w:val="24"/>
          <w:highlight w:val="none"/>
          <w:lang w:val="en-US" w:eastAsia="zh-CN"/>
        </w:rPr>
        <w:t>黄河</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水利委员会</w:t>
      </w:r>
      <w:r>
        <w:rPr>
          <w:rFonts w:hint="eastAsia" w:ascii="仿宋" w:hAnsi="仿宋" w:eastAsia="仿宋" w:cs="仿宋"/>
          <w:color w:val="auto"/>
          <w:szCs w:val="24"/>
          <w:highlight w:val="none"/>
        </w:rPr>
        <w:t>的规定和管理办法，没有相应规定时，承包人应按专用合同条款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间和要求提出</w:t>
      </w:r>
      <w:r>
        <w:rPr>
          <w:rFonts w:hint="eastAsia" w:ascii="仿宋" w:hAnsi="仿宋" w:eastAsia="仿宋" w:cs="仿宋"/>
          <w:color w:val="auto"/>
          <w:szCs w:val="24"/>
          <w:highlight w:val="none"/>
          <w:lang w:val="en-US" w:eastAsia="zh-CN"/>
        </w:rPr>
        <w:t>维</w:t>
      </w:r>
      <w:r>
        <w:rPr>
          <w:rFonts w:hint="eastAsia" w:ascii="仿宋" w:hAnsi="仿宋" w:eastAsia="仿宋" w:cs="仿宋"/>
          <w:color w:val="auto"/>
          <w:szCs w:val="24"/>
          <w:highlight w:val="none"/>
        </w:rPr>
        <w:t>修养护工艺，经发包人批准后执行。</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第4条联络本合同中有关各方的联络应以书面形式为准，并应送达双方的定的地点，办理签收手续。</w:t>
      </w:r>
    </w:p>
    <w:p>
      <w:pPr>
        <w:keepNext w:val="0"/>
        <w:keepLines w:val="0"/>
        <w:pageBreakBefore w:val="0"/>
        <w:widowControl w:val="0"/>
        <w:numPr>
          <w:ilvl w:val="0"/>
          <w:numId w:val="9"/>
        </w:numPr>
        <w:kinsoku/>
        <w:wordWrap/>
        <w:overflowPunct/>
        <w:topLinePunct w:val="0"/>
        <w:autoSpaceDE/>
        <w:autoSpaceDN/>
        <w:bidi w:val="0"/>
        <w:adjustRightInd/>
        <w:snapToGrid/>
        <w:spacing w:line="360" w:lineRule="auto"/>
        <w:ind w:left="0" w:leftChars="0" w:firstLine="0" w:firstLineChars="0"/>
        <w:jc w:val="left"/>
        <w:textAlignment w:val="auto"/>
        <w:rPr>
          <w:rFonts w:hint="eastAsia" w:ascii="仿宋" w:hAnsi="仿宋" w:eastAsia="仿宋" w:cs="仿宋"/>
          <w:color w:val="auto"/>
          <w:szCs w:val="24"/>
          <w:highlight w:val="none"/>
          <w:lang w:eastAsia="zh-CN"/>
        </w:rPr>
      </w:pPr>
      <w:r>
        <w:rPr>
          <w:rFonts w:hint="eastAsia" w:ascii="仿宋" w:hAnsi="仿宋" w:eastAsia="仿宋" w:cs="仿宋"/>
          <w:b/>
          <w:bCs/>
          <w:color w:val="auto"/>
          <w:szCs w:val="24"/>
          <w:highlight w:val="none"/>
        </w:rPr>
        <w:t>双方主要义务和责任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第5条发包人主要义务和责任</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5.1按专用条款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定的时间审查批复承包人上报的维修护期内的总体维信养护计划</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5.2按专用条款约定的时间审查批复承包人上报的单项维修养护计划。</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3按专用条款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定的时间向承包人提供与工程维修养护相关的档案资料</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4按专用条款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定的时间向承包人提供测量基准点、基准线、水准点及其基本资</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料和数据</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5.5按专用条款约定的时间向承包人提供维修养护人员及设备的驻留场地。</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5.6按专用条款的约定向承包人按时支付维修养护款</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第6条承包人主要义务和责任。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6.1在签订合同后及时进入维修养护现场，完成维修养护准备工作，并认真执行发</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包人发出的与合同有关的任何指示，严格按照合同中规定的标准及质量要求完成维修养护工作。</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6.2按发包人要求编制维修养护方案和实施计划，并提交发包人审批。维修养护方案中应包含文明施工和科学管理措施，保证按国家有关规定文明施工。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6.3遵守环境保护的法律、法规、规章及技术条款有关规定，防止因对噪音、扬尘、废水、废油不进行控制和治理及生活垃圾不及时清除而造成环境破坏及人员伤害和财产损失。</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6.4自行解决维修养护工作中的用电、用水、排水、照明、通信等，并承担一切费用。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6.5负责承包范围内所有工程及设施的保护工作。维修养护时做好工作现场地下管线和邻近建筑物或构筑物的保护，造成损坏承担一切费用。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6.6在维修养护工作完成后，及时拆除临时设施，清除维修养护工作区和生活区及其施工废弃物。</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6.7按发包人要求及时提供各种报表及维修养护工作计划、进展情况、管理信息等。</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6.8按专用条款的约定，提供有关维修养护资料和文件。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第7条发包人代表。发包人代表可指派专人具体负责管理某项维修养护工作的实施，并将被指派人的姓名通知承包人，承包人应执行其指示。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第8条承包人代表。承包人为实施本合同发出的一切函件应由承包人代表或其授权代表签名，发包人在回执上签署姓名和收到时间后生效。</w:t>
      </w:r>
      <w:r>
        <w:rPr>
          <w:rFonts w:hint="eastAsia" w:ascii="仿宋" w:hAnsi="仿宋" w:eastAsia="仿宋" w:cs="仿宋"/>
          <w:color w:val="auto"/>
          <w:szCs w:val="24"/>
          <w:highlight w:val="none"/>
        </w:rPr>
        <w:br w:type="textWrapping"/>
      </w:r>
      <w:r>
        <w:rPr>
          <w:rFonts w:hint="eastAsia" w:ascii="仿宋" w:hAnsi="仿宋" w:eastAsia="仿宋" w:cs="仿宋"/>
          <w:b/>
          <w:bCs/>
          <w:color w:val="auto"/>
          <w:szCs w:val="24"/>
          <w:highlight w:val="none"/>
        </w:rPr>
        <w:t>3.工作进度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第9条实施计划承包人应按技术条款规定的内容和发包人的指示，编制实施计划提交发包人审批。发包人按专用条款规定的时限内予以批复或提出修改意见，逾期不批复，可视为该实施计划已经批准。</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第10条延</w:t>
      </w:r>
      <w:r>
        <w:rPr>
          <w:rFonts w:hint="eastAsia" w:ascii="仿宋" w:hAnsi="仿宋" w:eastAsia="仿宋" w:cs="仿宋"/>
          <w:color w:val="auto"/>
          <w:szCs w:val="24"/>
          <w:highlight w:val="none"/>
          <w:lang w:val="en-US" w:eastAsia="zh-CN"/>
        </w:rPr>
        <w:t>误</w:t>
      </w:r>
      <w:r>
        <w:rPr>
          <w:rFonts w:hint="eastAsia" w:ascii="仿宋" w:hAnsi="仿宋" w:eastAsia="仿宋" w:cs="仿宋"/>
          <w:color w:val="auto"/>
          <w:szCs w:val="24"/>
          <w:highlight w:val="none"/>
        </w:rPr>
        <w:t>开工发包人未能按合同规定向承包人提供开工条件，</w:t>
      </w:r>
      <w:r>
        <w:rPr>
          <w:rFonts w:hint="eastAsia" w:ascii="仿宋" w:hAnsi="仿宋" w:eastAsia="仿宋" w:cs="仿宋"/>
          <w:color w:val="auto"/>
          <w:szCs w:val="24"/>
          <w:highlight w:val="none"/>
          <w:lang w:val="en-US" w:eastAsia="zh-CN"/>
        </w:rPr>
        <w:t>可以</w:t>
      </w:r>
      <w:r>
        <w:rPr>
          <w:rFonts w:hint="eastAsia" w:ascii="仿宋" w:hAnsi="仿宋" w:eastAsia="仿宋" w:cs="仿宋"/>
          <w:color w:val="auto"/>
          <w:szCs w:val="24"/>
          <w:highlight w:val="none"/>
        </w:rPr>
        <w:t>延长工期的</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承包人有权</w:t>
      </w:r>
      <w:r>
        <w:rPr>
          <w:rFonts w:hint="eastAsia" w:ascii="仿宋" w:hAnsi="仿宋" w:eastAsia="仿宋" w:cs="仿宋"/>
          <w:color w:val="auto"/>
          <w:szCs w:val="24"/>
          <w:highlight w:val="none"/>
          <w:lang w:val="en-US" w:eastAsia="zh-CN"/>
        </w:rPr>
        <w:t>提出延长工期的</w:t>
      </w:r>
      <w:r>
        <w:rPr>
          <w:rFonts w:hint="eastAsia" w:ascii="仿宋" w:hAnsi="仿宋" w:eastAsia="仿宋" w:cs="仿宋"/>
          <w:color w:val="auto"/>
          <w:szCs w:val="24"/>
          <w:highlight w:val="none"/>
        </w:rPr>
        <w:t>要求，由此增加的费用和工期延误由发包人承担:不可以延长工期的按专用条款的</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w:t>
      </w:r>
      <w:r>
        <w:rPr>
          <w:rFonts w:hint="eastAsia" w:ascii="仿宋" w:hAnsi="仿宋" w:eastAsia="仿宋" w:cs="仿宋"/>
          <w:color w:val="auto"/>
          <w:szCs w:val="24"/>
          <w:highlight w:val="none"/>
          <w:lang w:val="en-US" w:eastAsia="zh-CN"/>
        </w:rPr>
        <w:t>给承包人予以赔偿。</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第11条暂停工作发</w:t>
      </w:r>
      <w:r>
        <w:rPr>
          <w:rFonts w:hint="eastAsia" w:ascii="仿宋" w:hAnsi="仿宋" w:eastAsia="仿宋" w:cs="仿宋"/>
          <w:color w:val="auto"/>
          <w:szCs w:val="24"/>
          <w:highlight w:val="none"/>
          <w:lang w:val="en-US" w:eastAsia="zh-CN"/>
        </w:rPr>
        <w:t>包</w:t>
      </w:r>
      <w:r>
        <w:rPr>
          <w:rFonts w:hint="eastAsia" w:ascii="仿宋" w:hAnsi="仿宋" w:eastAsia="仿宋" w:cs="仿宋"/>
          <w:color w:val="auto"/>
          <w:szCs w:val="24"/>
          <w:highlight w:val="none"/>
        </w:rPr>
        <w:t>人认为有必要时，可向承包人发出暂停全部</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部分维修养护工作的指示，</w:t>
      </w:r>
      <w:r>
        <w:rPr>
          <w:rFonts w:hint="eastAsia" w:ascii="仿宋" w:hAnsi="仿宋" w:eastAsia="仿宋" w:cs="仿宋"/>
          <w:color w:val="auto"/>
          <w:szCs w:val="24"/>
          <w:highlight w:val="none"/>
          <w:lang w:val="en-US" w:eastAsia="zh-CN"/>
        </w:rPr>
        <w:t>承包人</w:t>
      </w:r>
      <w:r>
        <w:rPr>
          <w:rFonts w:hint="eastAsia" w:ascii="仿宋" w:hAnsi="仿宋" w:eastAsia="仿宋" w:cs="仿宋"/>
          <w:color w:val="auto"/>
          <w:szCs w:val="24"/>
          <w:highlight w:val="none"/>
        </w:rPr>
        <w:t>应按发包人指示立即停止工作。不论由于何种原因引起的暂停工作，承包人在暂停期间负责妥善保护工程和提供安全保障。当维修养护工作具备工条件时，承包人应按照发包人发出的复工通知中指定的时间复工</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若承包人无故拖延和拒绝复工，由此增加的费用和工期明延误责任由承包人承担。</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rPr>
        <w:t>第12条单项维修工作工期延</w:t>
      </w:r>
      <w:r>
        <w:rPr>
          <w:rFonts w:hint="eastAsia" w:ascii="仿宋" w:hAnsi="仿宋" w:eastAsia="仿宋" w:cs="仿宋"/>
          <w:color w:val="auto"/>
          <w:szCs w:val="24"/>
          <w:highlight w:val="none"/>
          <w:lang w:val="en-US" w:eastAsia="zh-CN"/>
        </w:rPr>
        <w:t>误</w:t>
      </w:r>
      <w:r>
        <w:rPr>
          <w:rFonts w:hint="eastAsia" w:ascii="仿宋" w:hAnsi="仿宋" w:eastAsia="仿宋" w:cs="仿宋"/>
          <w:color w:val="auto"/>
          <w:szCs w:val="24"/>
          <w:highlight w:val="none"/>
        </w:rPr>
        <w:t>发生以下情况造成工期延误时，由发包人承担责任</w:t>
      </w:r>
      <w:r>
        <w:rPr>
          <w:rFonts w:hint="eastAsia" w:ascii="仿宋" w:hAnsi="仿宋" w:eastAsia="仿宋" w:cs="仿宋"/>
          <w:color w:val="auto"/>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12.1增加合同中任何单项项目的工作内容。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12.2增加合同中任何单项项目的工程量超过专用合同条款约定的百分比。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12.3改变合同中任何一项工作的标准或性质。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12.4合同中涉及的由发包人责任引起的工期延误。</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12.5不可抗力:承包人在以上情况发生后2天内，就延误的原因、项目内容、延期要求和因此发生的费用向发包人提出报告，经发包人</w:t>
      </w:r>
      <w:r>
        <w:rPr>
          <w:rFonts w:hint="eastAsia" w:ascii="仿宋" w:hAnsi="仿宋" w:eastAsia="仿宋" w:cs="仿宋"/>
          <w:color w:val="auto"/>
          <w:szCs w:val="24"/>
          <w:highlight w:val="none"/>
          <w:lang w:val="en-US" w:eastAsia="zh-CN"/>
        </w:rPr>
        <w:t>审</w:t>
      </w:r>
      <w:r>
        <w:rPr>
          <w:rFonts w:hint="eastAsia" w:ascii="仿宋" w:hAnsi="仿宋" w:eastAsia="仿宋" w:cs="仿宋"/>
          <w:color w:val="auto"/>
          <w:szCs w:val="24"/>
          <w:highlight w:val="none"/>
        </w:rPr>
        <w:t>查确认答复。 发包人收到报告后7天内不予答复，承包人即可视为报告已被确认。 非上述原因造成的工期延误，由承包人承担责任， 并按专用合同条款约定支付逾期完工违约金。</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13条单项维修养护工作工期提前。某项工作如需要提前完工，双方协商致后签订提前完工协议，完工日期可以提前。承包人按此协议修订进度计划，发包人应在2天内给予批准。发包人应为赶工提供方便条件。提前完工协议应包括以下主要内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13.1提前的时间。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13.2承包人采取的赶工措施。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13.3发包人为赶工提供的条件。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13.4赶工费用和奖金。</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4.质量与检验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14条质量管理。承包人应建立和健全质量保证体系，并按专用合同条款约定的时间将一份包括质量管理机构的组成、主要人员资格、试验设备清单、质量检查程序和细则等的维修养护质量保证措施报告，报送发包人审批。</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15条检查和返工。承包人应严格按照技术条款的规定和发包人的指示，对维修养护使用的材料和工程设备以及其维修养护工艺，进行全过程的质量检查，详细作好记录，填制工程质量评定表，定期提交发包人审查。承包人应随时接受发包人的检查检验，并为检查检验提供便利的条件。承包人应按发包人的要求对于不合格的维修养护项目进行修补返工，承担由自身原因导致修补返工的费用。因发包人原因增加的费用，由发包人承担责任。以上检查检验合格后，再发现由承包人原因引起的质量问题，仍由承包人承担责任和处理质量问题所发生的费用。</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以上检查检验不应影响维修养护的正常进行。如影响正常进行，检查检验结果不合格时，影响正常维修养护费用由承包人承担</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除此之外影响正常维修养护增加的费用由发包人承担</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第16条质量要求</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质量应达到水利行业的质量检验评定标准，水利行业没有具体标准的项目应达到技术条款的质量要求。</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因承包人原因达不到约定的质量标准和要求，能返工且</w:t>
      </w:r>
      <w:r>
        <w:rPr>
          <w:rFonts w:hint="eastAsia" w:ascii="仿宋" w:hAnsi="仿宋" w:eastAsia="仿宋" w:cs="仿宋"/>
          <w:color w:val="auto"/>
          <w:szCs w:val="24"/>
          <w:highlight w:val="none"/>
          <w:lang w:val="en-US" w:eastAsia="zh-CN"/>
        </w:rPr>
        <w:t>返</w:t>
      </w:r>
      <w:r>
        <w:rPr>
          <w:rFonts w:hint="eastAsia" w:ascii="仿宋" w:hAnsi="仿宋" w:eastAsia="仿宋" w:cs="仿宋"/>
          <w:color w:val="auto"/>
          <w:szCs w:val="24"/>
          <w:highlight w:val="none"/>
        </w:rPr>
        <w:t>工后能达到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定的质量标准和要求的，发包人可要求承包人返工， 承包人应按发包人要求的时间返工，直到符合</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定的质量标准和要求，由承包人承担返工费用:能返工但返工不可能达到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定的质量标准和要求，承包人应</w:t>
      </w:r>
      <w:r>
        <w:rPr>
          <w:rFonts w:hint="eastAsia" w:ascii="仿宋" w:hAnsi="仿宋" w:eastAsia="仿宋" w:cs="仿宋"/>
          <w:color w:val="auto"/>
          <w:szCs w:val="24"/>
          <w:highlight w:val="none"/>
          <w:lang w:val="en-US" w:eastAsia="zh-CN"/>
        </w:rPr>
        <w:t>按</w:t>
      </w:r>
      <w:r>
        <w:rPr>
          <w:rFonts w:hint="eastAsia" w:ascii="仿宋" w:hAnsi="仿宋" w:eastAsia="仿宋" w:cs="仿宋"/>
          <w:color w:val="auto"/>
          <w:szCs w:val="24"/>
          <w:highlight w:val="none"/>
        </w:rPr>
        <w:t>发包人要求的时间返工，并承担违约责任，不能返工的由承包人承担违责任。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因发包人原因达不到</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定的质量标准和要求，由发包人承相返工的费用。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双方对维修养护质量有争议</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可提请专用条款约定的部门裁定，发生的一切费用由责任方承担。</w:t>
      </w:r>
    </w:p>
    <w:p>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5. 合同价款与支付。</w:t>
      </w:r>
    </w:p>
    <w:p>
      <w:pPr>
        <w:keepNext w:val="0"/>
        <w:keepLines w:val="0"/>
        <w:pageBreakBefore w:val="0"/>
        <w:widowControl w:val="0"/>
        <w:kinsoku/>
        <w:wordWrap/>
        <w:overflowPunct/>
        <w:topLinePunct w:val="0"/>
        <w:autoSpaceDE/>
        <w:autoSpaceDN/>
        <w:bidi w:val="0"/>
        <w:adjustRightInd/>
        <w:snapToGrid/>
        <w:spacing w:line="360" w:lineRule="auto"/>
        <w:ind w:left="480" w:leftChars="200" w:firstLine="0" w:firstLineChars="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第17条合同价格调整。合同价格在合同书签订后，任何</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方不得擅自改变。在发</w:t>
      </w:r>
    </w:p>
    <w:p>
      <w:pPr>
        <w:keepNext w:val="0"/>
        <w:keepLines w:val="0"/>
        <w:pageBreakBefore w:val="0"/>
        <w:widowControl w:val="0"/>
        <w:kinsoku/>
        <w:wordWrap/>
        <w:overflowPunct/>
        <w:topLinePunct w:val="0"/>
        <w:autoSpaceDE/>
        <w:autoSpaceDN/>
        <w:bidi w:val="0"/>
        <w:adjustRightInd/>
        <w:snapToGrid/>
        <w:spacing w:line="360" w:lineRule="auto"/>
        <w:ind w:left="480" w:hanging="480" w:hanging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生下列情况之一时可作调整。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17.1发包人确认的变更。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17.2专用合同条款</w:t>
      </w:r>
      <w:r>
        <w:rPr>
          <w:rFonts w:hint="eastAsia" w:ascii="仿宋" w:hAnsi="仿宋" w:eastAsia="仿宋" w:cs="仿宋"/>
          <w:color w:val="auto"/>
          <w:szCs w:val="24"/>
          <w:highlight w:val="none"/>
          <w:lang w:val="en-US" w:eastAsia="zh-CN"/>
        </w:rPr>
        <w:t>约</w:t>
      </w:r>
      <w:r>
        <w:rPr>
          <w:rFonts w:hint="eastAsia" w:ascii="仿宋" w:hAnsi="仿宋" w:eastAsia="仿宋" w:cs="仿宋"/>
          <w:color w:val="auto"/>
          <w:szCs w:val="24"/>
          <w:highlight w:val="none"/>
        </w:rPr>
        <w:t>定的其他增减和调整。承包人在上述情况发生后，将调整原</w:t>
      </w:r>
    </w:p>
    <w:p>
      <w:pPr>
        <w:keepNext w:val="0"/>
        <w:keepLines w:val="0"/>
        <w:pageBreakBefore w:val="0"/>
        <w:widowControl w:val="0"/>
        <w:kinsoku/>
        <w:wordWrap/>
        <w:overflowPunct/>
        <w:topLinePunct w:val="0"/>
        <w:autoSpaceDE/>
        <w:autoSpaceDN/>
        <w:bidi w:val="0"/>
        <w:adjustRightInd/>
        <w:snapToGrid/>
        <w:spacing w:line="360" w:lineRule="auto"/>
        <w:ind w:left="240" w:hanging="240" w:hanging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因、内容、金额以书面形式通知发包人</w:t>
      </w:r>
      <w:r>
        <w:rPr>
          <w:rFonts w:hint="eastAsia" w:ascii="仿宋" w:hAnsi="仿宋" w:eastAsia="仿宋" w:cs="仿宋"/>
          <w:color w:val="auto"/>
          <w:szCs w:val="24"/>
          <w:highlight w:val="none"/>
          <w:lang w:val="en-US" w:eastAsia="zh-CN"/>
        </w:rPr>
        <w:t>予</w:t>
      </w:r>
      <w:r>
        <w:rPr>
          <w:rFonts w:hint="eastAsia" w:ascii="仿宋" w:hAnsi="仿宋" w:eastAsia="仿宋" w:cs="仿宋"/>
          <w:color w:val="auto"/>
          <w:szCs w:val="24"/>
          <w:highlight w:val="none"/>
        </w:rPr>
        <w:t>以复核，批准后通知承包人。</w:t>
      </w:r>
    </w:p>
    <w:p>
      <w:pPr>
        <w:keepNext w:val="0"/>
        <w:keepLines w:val="0"/>
        <w:pageBreakBefore w:val="0"/>
        <w:widowControl w:val="0"/>
        <w:kinsoku/>
        <w:wordWrap/>
        <w:overflowPunct/>
        <w:topLinePunct w:val="0"/>
        <w:autoSpaceDE/>
        <w:autoSpaceDN/>
        <w:bidi w:val="0"/>
        <w:adjustRightInd/>
        <w:snapToGrid/>
        <w:spacing w:line="360" w:lineRule="auto"/>
        <w:ind w:left="240" w:leftChars="100"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第18条月维修养护付款申请报告的核实确认。承包人按专用合同条款约定的时</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间，向发包人提交月维修养护付款申请报告。发包人在接到报告7天内核实已完维修养护工作任务和应支付的维修养护款，若月维修养护付款申请报告需要修改，承包人应按发包人的指示进行修改，重新提交月维修养护付款申请报告。发包人应在3天内对修改后的月进度付款申请报告签字确认。</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19条维修养护款支付。发包人在签字确认后14天内不予支付维修养护款，承包人可向发包人发出要求付款通知，发包人在收到承包人通知后仍不能按要求支付，承包人可在发出通知7天后减缓维修养护工作速度，直至停止工作，发包人承担违约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若承包人和发包人协商同意签订延期付款协议，发包人可延期支付维修养护款。协议应明确约定付款日期和利息计算方法。</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第20条维修养护款结算。维修养护工作检查验收合格后，承包人应</w:t>
      </w:r>
      <w:r>
        <w:rPr>
          <w:rFonts w:hint="eastAsia" w:ascii="仿宋" w:hAnsi="仿宋" w:eastAsia="仿宋" w:cs="仿宋"/>
          <w:color w:val="auto"/>
          <w:szCs w:val="24"/>
          <w:highlight w:val="none"/>
          <w:lang w:val="en-US" w:eastAsia="zh-CN"/>
        </w:rPr>
        <w:t>按</w:t>
      </w:r>
      <w:r>
        <w:rPr>
          <w:rFonts w:hint="eastAsia" w:ascii="仿宋" w:hAnsi="仿宋" w:eastAsia="仿宋" w:cs="仿宋"/>
          <w:color w:val="auto"/>
          <w:szCs w:val="24"/>
          <w:highlight w:val="none"/>
        </w:rPr>
        <w:t>有关规定和专用合同条款约定的时间向发包人提交完工结算报告。发包人收到完工结算报告后应在28天内予以批准或提出修改意见并在专用合同条款约定的时间内办理结算。</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6.变更。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第21条变更。</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21.1变更的范围和内容: (1) 取消合同中任何一项工作。(2) 改变合同中任何一项工作的标准和性质。(3) 改变合同中任何一项工作的完工日期或改变已经批准的施工顺序。</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21.2变更的程序和指示: (1) 承包人收到发包人发出的变更后必须按变更要求执行，若不同意变更，应在2天内答复发包人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承包人未在2天内答复发包人，则视为承包人已同意发包人提出的变更要求。(2) 没有发包人的指示，承包人不得擅自进行变更。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22条确定变更价款和工期。做出第21条规定的变更后，如果变更项目引起维修养护方案和进度计划发生实质性变动，影响了其原定维修养护费用时，应在双方协商的时间内，由承包人提出变更报价书，承包人和发包人充分协商后作出调整价款和完工日期的变更决定，除此之外，不予调整合同体的价款。因承包人违的必须作出的变更，因而增加的费用和工期延误，责任由承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7.验收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条验收。合同期满</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承包人按合同完成某一阶段或某一单项</w:t>
      </w:r>
      <w:r>
        <w:rPr>
          <w:rFonts w:hint="eastAsia" w:ascii="仿宋" w:hAnsi="仿宋" w:eastAsia="仿宋" w:cs="仿宋"/>
          <w:color w:val="auto"/>
          <w:szCs w:val="24"/>
          <w:highlight w:val="none"/>
          <w:lang w:val="en-US" w:eastAsia="zh-CN"/>
        </w:rPr>
        <w:t>维</w:t>
      </w:r>
      <w:r>
        <w:rPr>
          <w:rFonts w:hint="eastAsia" w:ascii="仿宋" w:hAnsi="仿宋" w:eastAsia="仿宋" w:cs="仿宋"/>
          <w:color w:val="auto"/>
          <w:szCs w:val="24"/>
          <w:highlight w:val="none"/>
        </w:rPr>
        <w:t>修养护工作时，可进行合同期满验收、阶段验收或单项验收。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23.1阶段验收成单项维修养护工作验收。承包人按合同完成某一阶段或某-单项维修养护工作后，承包人应7天内按照发包人要求提交验收报告(附验收资料)，发包人应在收到承包人提交的验收报告后7天内通知承包人组织验收，验收结果和结论作为本合同验收申请报告的附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23. 2合同期满验收。合同期满后14天内承包人按照发包人要求提交验收报告(附验收资料) </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t>发包人应在收到承包人提交的验收报告后7天内通知承包人组织验收，验收合格由发包人签署验收证书，颁发给承包人。</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8. 争议、违约和索赔。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第24条争议的解决。发包人和承包人出现争议时，要求调解、仲裁或诉讼的，可按专用合同条款的约定，采用以下的方式解决:</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24.1 提请行业经济合同争议调解机构调解，对调解结果不能接受，或由于一方原因使调解结果无法执行，任何一方可提请仲载或</w:t>
      </w:r>
      <w:r>
        <w:rPr>
          <w:rFonts w:hint="eastAsia" w:ascii="仿宋" w:hAnsi="仿宋" w:eastAsia="仿宋" w:cs="仿宋"/>
          <w:color w:val="auto"/>
          <w:szCs w:val="24"/>
          <w:highlight w:val="none"/>
          <w:lang w:val="en-US" w:eastAsia="zh-CN"/>
        </w:rPr>
        <w:t>诉讼</w:t>
      </w:r>
      <w:r>
        <w:rPr>
          <w:rFonts w:hint="eastAsia" w:ascii="仿宋" w:hAnsi="仿宋" w:eastAsia="仿宋" w:cs="仿宋"/>
          <w:color w:val="auto"/>
          <w:szCs w:val="24"/>
          <w:highlight w:val="none"/>
        </w:rPr>
        <w:t>解决争议。</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24. 2签订仲载协议或确定仲裁范围和仲裁机构。任何</w:t>
      </w:r>
      <w:r>
        <w:rPr>
          <w:rFonts w:hint="eastAsia" w:ascii="仿宋" w:hAnsi="仿宋" w:eastAsia="仿宋" w:cs="仿宋"/>
          <w:color w:val="auto"/>
          <w:szCs w:val="24"/>
          <w:highlight w:val="none"/>
          <w:lang w:val="en-US" w:eastAsia="zh-CN"/>
        </w:rPr>
        <w:t>一</w:t>
      </w:r>
      <w:r>
        <w:rPr>
          <w:rFonts w:hint="eastAsia" w:ascii="仿宋" w:hAnsi="仿宋" w:eastAsia="仿宋" w:cs="仿宋"/>
          <w:color w:val="auto"/>
          <w:szCs w:val="24"/>
          <w:highlight w:val="none"/>
        </w:rPr>
        <w:t>方均可将争议提交专用合同条款约定的仲裁机构仲裁或向有管辖权的人民法院诉讼。</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发生争议后，任何-方均不得以调解和仲载或诉论判决未果为借口拒绝或拖延按合同约定进行的工作，双方都应继续履行合同。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25条违约。发包人不能按合同约定履行自己的义务及发生其他使合同无法履行的行为，承包人应及时向发包人提出书面通知，要求发包人在期限内履行合同，否则有权暂停维修养护工作，直至解除合同，发包人应承担违约责任，支付违约导致承包人增加的费用和赔偿因违约给承包人造成的损失。承包人不能按发包人批准的进度计划实施、维修养护标准达不到合同约定的要求，或发生不能履行合同规定的义务以及使合同无法履行的行为，发包人对承包人发出书面警告限期整改，暂停支付维修养护款，直至解除合同。承包人应承担采取改正措施所增加的费用，并按合同规定支付违约金，并赔偿因违约给发包人造成的损失。</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除非双方协议将合同终止，或因一方违约使合同无法履行，违约方承担上述违约责任后仍应继续履行合同。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lang w:val="en-US" w:eastAsia="zh-CN"/>
        </w:rPr>
        <w:t>因一</w:t>
      </w:r>
      <w:r>
        <w:rPr>
          <w:rFonts w:hint="eastAsia" w:ascii="仿宋" w:hAnsi="仿宋" w:eastAsia="仿宋" w:cs="仿宋"/>
          <w:color w:val="auto"/>
          <w:szCs w:val="24"/>
          <w:highlight w:val="none"/>
        </w:rPr>
        <w:t>方违约使合同不能履行， 另一方欲中止或解除合同，应提前7天通知违约方后，方可中止或解除合同，由违约方承担违约责任。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第26条索赔。发包人未能履行合同约定的义务和责任，承包人可根据本合同有关条款按以下规定向发包人提出索赔: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26. 1索赔事件发生后7天内，向发包人提交素赔的申请报告</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26.2索赔申请报告应有索赔事件发生时的有关证据以及详细说明素赔理由和索赔</w:t>
      </w:r>
      <w:r>
        <w:rPr>
          <w:rFonts w:hint="eastAsia" w:ascii="仿宋" w:hAnsi="仿宋" w:eastAsia="仿宋" w:cs="仿宋"/>
          <w:color w:val="auto"/>
          <w:szCs w:val="24"/>
          <w:highlight w:val="none"/>
          <w:lang w:val="en-US" w:eastAsia="zh-CN"/>
        </w:rPr>
        <w:t>费用的计算依据。</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26.3发包人在接到</w:t>
      </w:r>
      <w:r>
        <w:rPr>
          <w:rFonts w:hint="eastAsia" w:ascii="仿宋" w:hAnsi="仿宋" w:eastAsia="仿宋" w:cs="仿宋"/>
          <w:color w:val="auto"/>
          <w:szCs w:val="24"/>
          <w:highlight w:val="none"/>
          <w:lang w:val="en-US" w:eastAsia="zh-CN"/>
        </w:rPr>
        <w:t>索赔申请</w:t>
      </w:r>
      <w:r>
        <w:rPr>
          <w:rFonts w:hint="eastAsia" w:ascii="仿宋" w:hAnsi="仿宋" w:eastAsia="仿宋" w:cs="仿宋"/>
          <w:color w:val="auto"/>
          <w:szCs w:val="24"/>
          <w:highlight w:val="none"/>
        </w:rPr>
        <w:t>报告后7天内进行调查审核，并做出决定，发包人在收到承包人索赔申请报告后7天后未予答复，应视为批准。</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9.其他</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27条安全施工。承包人应按合同规定，认真做好施工安全工作，发包人应按有关法律、法规、规章和本合同有关规定，检查、监督上述工作的实施，对承包人故意延误或拒绝改正的，有权责令其停工整改。承包人按有关规定和合同约定，承担由于自身安全措施不力造成事故的责任和因此发生的费用。</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发生重大伤亡事故，承包人应按有关规定立即通知发包人和上级有关部门。同时按国家有关规定处理。</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28条专利技术和合理化建议。发包人要求承包人采用专利技术时，须负责办理相应的申报、审批手续，承担申报、试验等费用。承包人提出使用专利技术时，须报发包人并双方签订保障发包人免于承担因侵犯专利权等的诉论及承担有关费用的约定后承包人才能实施。</w:t>
      </w:r>
    </w:p>
    <w:p>
      <w:pPr>
        <w:keepNext w:val="0"/>
        <w:keepLines w:val="0"/>
        <w:pageBreakBefore w:val="0"/>
        <w:widowControl w:val="0"/>
        <w:kinsoku/>
        <w:wordWrap/>
        <w:overflowPunct/>
        <w:topLinePunct w:val="0"/>
        <w:autoSpaceDE/>
        <w:autoSpaceDN/>
        <w:bidi w:val="0"/>
        <w:adjustRightInd/>
        <w:snapToGrid/>
        <w:spacing w:line="360" w:lineRule="auto"/>
        <w:ind w:firstLine="240" w:firstLineChars="100"/>
        <w:jc w:val="left"/>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承包人提出合理化建议涉及到的变更，应以书面形式提交发包人，若建议被采纳，需由发包人发出变更指示后方可实施。</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29条不可抗力。不可抗力发生后，承包人应迅速采取措施，尽力减少损失，并在24小时内向发包人通报情况，按专用合同条款约定的时间向发包人报告损失情况和清理、修复的费用。灾害继续发生，承包人应每隔2天向发包人报告一次灾害情况， 直到灾害结束. 发包人应对灾害处理提供必要条件。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第30条因灾害发生的费用按下列规定由双方分别承担。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 1工程本身的损害由发包人承担。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 2人员伤亡由其所属方负责，并承担相应费用。</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30.3造成承包人设备、机械的损坏等损失，由承包人承担。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30.4所需清理修复工作的费用由发包人承担。</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第31条合同的生效与终止。本合同自发包人和承包人的法定代表人或其授权代表在合同书上签字并盖公章后生效。承包期满，维修养护工作终止，未完承包工作内容按专用条款约定的方式处理后，并且除此之外合同双方均未遗留按合同规定应履行的其他义务时，合同自然终止。</w:t>
      </w:r>
    </w:p>
    <w:p>
      <w:pP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br w:type="page"/>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Cs w:val="24"/>
          <w:highlight w:val="none"/>
        </w:rPr>
      </w:pPr>
      <w:r>
        <w:rPr>
          <w:rFonts w:hint="eastAsia" w:ascii="仿宋" w:hAnsi="仿宋" w:eastAsia="仿宋" w:cs="仿宋"/>
          <w:b/>
          <w:bCs/>
          <w:color w:val="auto"/>
          <w:sz w:val="28"/>
          <w:szCs w:val="28"/>
          <w:highlight w:val="none"/>
        </w:rPr>
        <w:t>专用合同条款</w:t>
      </w:r>
      <w:r>
        <w:rPr>
          <w:rFonts w:hint="eastAsia" w:ascii="仿宋" w:hAnsi="仿宋" w:eastAsia="仿宋" w:cs="仿宋"/>
          <w:b/>
          <w:bCs/>
          <w:color w:val="auto"/>
          <w:sz w:val="28"/>
          <w:szCs w:val="28"/>
          <w:highlight w:val="none"/>
        </w:rPr>
        <w:br w:type="textWrapping"/>
      </w:r>
      <w:r>
        <w:rPr>
          <w:rFonts w:hint="eastAsia" w:ascii="仿宋" w:hAnsi="仿宋" w:eastAsia="仿宋" w:cs="仿宋"/>
          <w:b/>
          <w:bCs/>
          <w:color w:val="auto"/>
          <w:sz w:val="28"/>
          <w:szCs w:val="28"/>
          <w:highlight w:val="none"/>
        </w:rPr>
        <w:t>前</w:t>
      </w:r>
      <w:r>
        <w:rPr>
          <w:rFonts w:hint="eastAsia" w:ascii="仿宋" w:hAnsi="仿宋" w:eastAsia="仿宋" w:cs="仿宋"/>
          <w:b/>
          <w:bCs/>
          <w:color w:val="auto"/>
          <w:sz w:val="28"/>
          <w:szCs w:val="28"/>
          <w:highlight w:val="none"/>
          <w:lang w:val="en-US" w:eastAsia="zh-CN"/>
        </w:rPr>
        <w:t>言</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专用合同条款中的各条款是补充和修改通用合同条款号相同的条款</w:t>
      </w:r>
      <w:r>
        <w:rPr>
          <w:rFonts w:hint="eastAsia" w:ascii="仿宋" w:hAnsi="仿宋" w:eastAsia="仿宋" w:cs="仿宋"/>
          <w:color w:val="auto"/>
          <w:szCs w:val="24"/>
          <w:highlight w:val="none"/>
          <w:lang w:val="en-US" w:eastAsia="zh-CN"/>
        </w:rPr>
        <w:t>或</w:t>
      </w:r>
      <w:r>
        <w:rPr>
          <w:rFonts w:hint="eastAsia" w:ascii="仿宋" w:hAnsi="仿宋" w:eastAsia="仿宋" w:cs="仿宋"/>
          <w:color w:val="auto"/>
          <w:szCs w:val="24"/>
          <w:highlight w:val="none"/>
        </w:rPr>
        <w:t>当需要时增加新的条款，两者应对照阅读。</w:t>
      </w:r>
      <w:r>
        <w:rPr>
          <w:rFonts w:hint="eastAsia" w:ascii="仿宋" w:hAnsi="仿宋" w:eastAsia="仿宋" w:cs="仿宋"/>
          <w:color w:val="auto"/>
          <w:szCs w:val="24"/>
          <w:highlight w:val="none"/>
          <w:lang w:val="en-US" w:eastAsia="zh-CN"/>
        </w:rPr>
        <w:t>一旦</w:t>
      </w:r>
      <w:r>
        <w:rPr>
          <w:rFonts w:hint="eastAsia" w:ascii="仿宋" w:hAnsi="仿宋" w:eastAsia="仿宋" w:cs="仿宋"/>
          <w:color w:val="auto"/>
          <w:szCs w:val="24"/>
          <w:highlight w:val="none"/>
        </w:rPr>
        <w:t>出现矛盾或不一 败，则以专用合同条款为准， 通用</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rPr>
        <w:t>合同条款中</w:t>
      </w:r>
      <w:r>
        <w:rPr>
          <w:rFonts w:hint="eastAsia" w:ascii="仿宋" w:hAnsi="仿宋" w:eastAsia="仿宋" w:cs="仿宋"/>
          <w:color w:val="auto"/>
          <w:szCs w:val="24"/>
          <w:highlight w:val="none"/>
          <w:lang w:val="en-US" w:eastAsia="zh-CN"/>
        </w:rPr>
        <w:t>未</w:t>
      </w:r>
      <w:r>
        <w:rPr>
          <w:rFonts w:hint="eastAsia" w:ascii="仿宋" w:hAnsi="仿宋" w:eastAsia="仿宋" w:cs="仿宋"/>
          <w:color w:val="auto"/>
          <w:szCs w:val="24"/>
          <w:highlight w:val="none"/>
        </w:rPr>
        <w:t>补充和</w:t>
      </w:r>
      <w:r>
        <w:rPr>
          <w:rFonts w:hint="eastAsia" w:ascii="仿宋" w:hAnsi="仿宋" w:eastAsia="仿宋" w:cs="仿宋"/>
          <w:color w:val="auto"/>
          <w:szCs w:val="24"/>
          <w:highlight w:val="none"/>
          <w:lang w:val="en-US" w:eastAsia="zh-CN"/>
        </w:rPr>
        <w:t>修改</w:t>
      </w:r>
      <w:r>
        <w:rPr>
          <w:rFonts w:hint="eastAsia" w:ascii="仿宋" w:hAnsi="仿宋" w:eastAsia="仿宋" w:cs="仿宋"/>
          <w:color w:val="auto"/>
          <w:szCs w:val="24"/>
          <w:highlight w:val="none"/>
        </w:rPr>
        <w:t>的部分仍有效。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1.词语</w:t>
      </w:r>
      <w:r>
        <w:rPr>
          <w:rFonts w:hint="eastAsia" w:ascii="仿宋" w:hAnsi="仿宋" w:eastAsia="仿宋" w:cs="仿宋"/>
          <w:color w:val="auto"/>
          <w:szCs w:val="24"/>
          <w:highlight w:val="none"/>
          <w:lang w:val="en-US" w:eastAsia="zh-CN"/>
        </w:rPr>
        <w:t>涵</w:t>
      </w:r>
      <w:r>
        <w:rPr>
          <w:rFonts w:hint="eastAsia" w:ascii="仿宋" w:hAnsi="仿宋" w:eastAsia="仿宋" w:cs="仿宋"/>
          <w:color w:val="auto"/>
          <w:szCs w:val="24"/>
          <w:highlight w:val="none"/>
        </w:rPr>
        <w:t>义及合同条件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第1条词语涵义</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1发包人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rPr>
        <w:t>西安市高陵区水务局</w:t>
      </w:r>
      <w:r>
        <w:rPr>
          <w:rFonts w:hint="eastAsia" w:ascii="仿宋" w:hAnsi="仿宋" w:eastAsia="仿宋" w:cs="仿宋"/>
          <w:color w:val="auto"/>
          <w:szCs w:val="24"/>
          <w:highlight w:val="none"/>
          <w:u w:val="single"/>
        </w:rPr>
        <w:br w:type="textWrapping"/>
      </w:r>
      <w:r>
        <w:rPr>
          <w:rFonts w:hint="eastAsia" w:ascii="仿宋" w:hAnsi="仿宋" w:eastAsia="仿宋" w:cs="仿宋"/>
          <w:color w:val="auto"/>
          <w:szCs w:val="24"/>
          <w:highlight w:val="none"/>
        </w:rPr>
        <w:t>1. 2承包人</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p>
    <w:p>
      <w:pPr>
        <w:keepNext w:val="0"/>
        <w:keepLines w:val="0"/>
        <w:pageBreakBefore w:val="0"/>
        <w:widowControl w:val="0"/>
        <w:numPr>
          <w:ilvl w:val="0"/>
          <w:numId w:val="1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 3发包人代表</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4承包人代表</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1. 5承包期:自</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日开始，至</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日终止。 历时总天数</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rPr>
        <w:t>天。</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第2条合同文件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若还有其他构成合同的文件时，按照签署日期的先后，插入合同中，签署日期在后的应排在前面，并列出全部文件的名称和顺序。</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第3条合同使用的语言文字和适用法律(示例，仅供参考)</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如果双方商定合同使用语言文字为汉语即: </w:t>
      </w:r>
      <w:r>
        <w:rPr>
          <w:rFonts w:hint="eastAsia" w:ascii="仿宋" w:hAnsi="仿宋" w:eastAsia="仿宋" w:cs="仿宋"/>
          <w:color w:val="auto"/>
          <w:szCs w:val="24"/>
          <w:highlight w:val="none"/>
          <w:u w:val="single"/>
        </w:rPr>
        <w:t>3.1本合同使用的语言文字是汉语。</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2. 双方主要义务和责任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第5条发包人主要义务和责任</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1审查批复承包人上报的整个维修养护期内的总体维修养护计划的时间: </w:t>
      </w:r>
      <w:r>
        <w:rPr>
          <w:rFonts w:hint="eastAsia" w:ascii="仿宋" w:hAnsi="仿宋" w:eastAsia="仿宋" w:cs="仿宋"/>
          <w:color w:val="auto"/>
          <w:szCs w:val="24"/>
          <w:highlight w:val="none"/>
          <w:u w:val="single"/>
        </w:rPr>
        <w:t>合同签订后7个工作日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5.2审查批复承包人上报的单项维修养护计划的时间:</w:t>
      </w:r>
      <w:r>
        <w:rPr>
          <w:rFonts w:hint="eastAsia" w:ascii="仿宋" w:hAnsi="仿宋" w:eastAsia="仿宋" w:cs="仿宋"/>
          <w:color w:val="auto"/>
          <w:szCs w:val="24"/>
          <w:highlight w:val="none"/>
          <w:u w:val="single"/>
        </w:rPr>
        <w:t>承包人递交计划3个工作日内</w:t>
      </w:r>
      <w:r>
        <w:rPr>
          <w:rFonts w:hint="eastAsia" w:ascii="仿宋" w:hAnsi="仿宋" w:eastAsia="仿宋" w:cs="仿宋"/>
          <w:color w:val="auto"/>
          <w:szCs w:val="24"/>
          <w:highlight w:val="none"/>
        </w:rPr>
        <w:t>5.3</w:t>
      </w:r>
      <w:r>
        <w:rPr>
          <w:rFonts w:hint="eastAsia" w:ascii="仿宋" w:hAnsi="仿宋" w:eastAsia="仿宋" w:cs="仿宋"/>
          <w:color w:val="auto"/>
          <w:szCs w:val="24"/>
          <w:highlight w:val="none"/>
          <w:u w:val="single"/>
        </w:rPr>
        <w:t>合同签订后3个工作日内提供工程维修养护相关资料档案。</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5. 4</w:t>
      </w:r>
      <w:r>
        <w:rPr>
          <w:rFonts w:hint="eastAsia" w:ascii="仿宋" w:hAnsi="仿宋" w:eastAsia="仿宋" w:cs="仿宋"/>
          <w:color w:val="auto"/>
          <w:szCs w:val="24"/>
          <w:highlight w:val="none"/>
          <w:u w:val="single"/>
        </w:rPr>
        <w:t>合同签订后3个工作日内提供工程维修养护基本资料和数据</w:t>
      </w:r>
      <w:r>
        <w:rPr>
          <w:rFonts w:hint="eastAsia" w:ascii="仿宋" w:hAnsi="仿宋" w:eastAsia="仿宋" w:cs="仿宋"/>
          <w:color w:val="auto"/>
          <w:szCs w:val="24"/>
          <w:highlight w:val="none"/>
          <w:u w:val="singl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第6条承包人主要义务和责任:执行通用条款。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3. 工作进度</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第12条单项维修工作工期延误:</w:t>
      </w:r>
      <w:r>
        <w:rPr>
          <w:rFonts w:hint="eastAsia" w:ascii="仿宋" w:hAnsi="仿宋" w:eastAsia="仿宋" w:cs="仿宋"/>
          <w:color w:val="auto"/>
          <w:szCs w:val="24"/>
          <w:highlight w:val="none"/>
          <w:u w:val="single"/>
        </w:rPr>
        <w:t>违约金额上限为合同金额2%</w:t>
      </w:r>
      <w:r>
        <w:rPr>
          <w:rFonts w:hint="eastAsia" w:ascii="仿宋" w:hAnsi="仿宋" w:eastAsia="仿宋" w:cs="仿宋"/>
          <w:color w:val="auto"/>
          <w:szCs w:val="24"/>
          <w:highlight w:val="none"/>
          <w:u w:val="single"/>
          <w:lang w:eastAsia="zh-CN"/>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第13条工期提前</w:t>
      </w:r>
      <w:r>
        <w:rPr>
          <w:rFonts w:hint="eastAsia" w:ascii="仿宋" w:hAnsi="仿宋" w:eastAsia="仿宋" w:cs="仿宋"/>
          <w:color w:val="auto"/>
          <w:szCs w:val="24"/>
          <w:highlight w:val="none"/>
          <w:u w:val="single"/>
        </w:rPr>
        <w:t>无奖励</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4.质量与检验</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第14条质量管理</w:t>
      </w:r>
      <w:r>
        <w:rPr>
          <w:rFonts w:hint="eastAsia" w:ascii="仿宋" w:hAnsi="仿宋" w:eastAsia="仿宋" w:cs="仿宋"/>
          <w:color w:val="auto"/>
          <w:szCs w:val="24"/>
          <w:highlight w:val="none"/>
          <w:u w:val="single"/>
        </w:rPr>
        <w:t>合同签订后7 个工作日</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第16条质量要求</w:t>
      </w:r>
      <w:r>
        <w:rPr>
          <w:rFonts w:hint="eastAsia" w:ascii="仿宋" w:hAnsi="仿宋" w:eastAsia="仿宋" w:cs="仿宋"/>
          <w:color w:val="auto"/>
          <w:szCs w:val="24"/>
          <w:highlight w:val="none"/>
          <w:u w:val="single"/>
        </w:rPr>
        <w:t>双方协商确定</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合同价格与支付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第17条合同价格及调整</w:t>
      </w:r>
      <w:r>
        <w:rPr>
          <w:rFonts w:hint="eastAsia" w:ascii="仿宋" w:hAnsi="仿宋" w:eastAsia="仿宋" w:cs="仿宋"/>
          <w:color w:val="auto"/>
          <w:szCs w:val="24"/>
          <w:highlight w:val="none"/>
          <w:u w:val="single"/>
        </w:rPr>
        <w:t>固定综合单价，合同单价不调整</w:t>
      </w:r>
      <w:r>
        <w:rPr>
          <w:rFonts w:hint="eastAsia" w:ascii="仿宋" w:hAnsi="仿宋" w:eastAsia="仿宋" w:cs="仿宋"/>
          <w:color w:val="auto"/>
          <w:szCs w:val="24"/>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lang w:val="en-US" w:eastAsia="zh-CN"/>
        </w:rPr>
      </w:pPr>
      <w:r>
        <w:rPr>
          <w:rFonts w:hint="eastAsia" w:ascii="仿宋" w:hAnsi="仿宋" w:eastAsia="仿宋" w:cs="仿宋"/>
          <w:color w:val="auto"/>
          <w:szCs w:val="24"/>
          <w:highlight w:val="none"/>
        </w:rPr>
        <w:t>第1</w:t>
      </w: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条维修养护款支付</w:t>
      </w:r>
      <w:r>
        <w:rPr>
          <w:rFonts w:hint="eastAsia" w:ascii="仿宋" w:hAnsi="仿宋" w:eastAsia="仿宋" w:cs="仿宋"/>
          <w:color w:val="auto"/>
          <w:szCs w:val="24"/>
          <w:highlight w:val="none"/>
          <w:u w:val="single"/>
        </w:rPr>
        <w:t>按月工作进度进行付款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条维修养护款结算</w:t>
      </w:r>
      <w:r>
        <w:rPr>
          <w:rFonts w:hint="eastAsia" w:ascii="仿宋" w:hAnsi="仿宋" w:eastAsia="仿宋" w:cs="仿宋"/>
          <w:color w:val="auto"/>
          <w:szCs w:val="24"/>
          <w:highlight w:val="none"/>
          <w:u w:val="single"/>
        </w:rPr>
        <w:t>服务期满，验收合格后，15 个工作日内</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lang w:val="en-US" w:eastAsia="zh-CN"/>
        </w:rPr>
        <w:t>6.变更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条确定变更价格和工期</w:t>
      </w:r>
      <w:r>
        <w:rPr>
          <w:rFonts w:hint="eastAsia" w:ascii="仿宋" w:hAnsi="仿宋" w:eastAsia="仿宋" w:cs="仿宋"/>
          <w:color w:val="auto"/>
          <w:szCs w:val="24"/>
          <w:highlight w:val="none"/>
          <w:u w:val="single"/>
        </w:rPr>
        <w:t>执行通用条款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rPr>
        <w:t>7.验收</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条验收</w:t>
      </w:r>
      <w:r>
        <w:rPr>
          <w:rFonts w:hint="eastAsia" w:ascii="仿宋" w:hAnsi="仿宋" w:eastAsia="仿宋" w:cs="仿宋"/>
          <w:color w:val="auto"/>
          <w:szCs w:val="24"/>
          <w:highlight w:val="none"/>
          <w:u w:val="single"/>
        </w:rPr>
        <w:t>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8.争议、违约和索赔</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条</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争议的解决</w:t>
      </w:r>
      <w:r>
        <w:rPr>
          <w:rFonts w:hint="eastAsia" w:ascii="仿宋" w:hAnsi="仿宋" w:eastAsia="仿宋" w:cs="仿宋"/>
          <w:color w:val="auto"/>
          <w:szCs w:val="24"/>
          <w:highlight w:val="none"/>
          <w:u w:val="single"/>
        </w:rPr>
        <w:t>仲裁</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条违约</w:t>
      </w:r>
      <w:r>
        <w:rPr>
          <w:rFonts w:hint="eastAsia" w:ascii="仿宋" w:hAnsi="仿宋" w:eastAsia="仿宋" w:cs="仿宋"/>
          <w:color w:val="auto"/>
          <w:szCs w:val="24"/>
          <w:highlight w:val="none"/>
          <w:u w:val="single"/>
        </w:rPr>
        <w:t>执行通用条款</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9.其他</w:t>
      </w:r>
      <w:r>
        <w:rPr>
          <w:rFonts w:hint="eastAsia" w:ascii="仿宋" w:hAnsi="仿宋" w:eastAsia="仿宋" w:cs="仿宋"/>
          <w:color w:val="auto"/>
          <w:szCs w:val="24"/>
          <w:highlight w:val="none"/>
        </w:rPr>
        <w:br w:type="textWrapping"/>
      </w:r>
      <w:r>
        <w:rPr>
          <w:rFonts w:hint="eastAsia" w:ascii="仿宋" w:hAnsi="仿宋" w:eastAsia="仿宋" w:cs="仿宋"/>
          <w:color w:val="auto"/>
          <w:szCs w:val="24"/>
          <w:highlight w:val="none"/>
        </w:rPr>
        <w:t>第2</w:t>
      </w: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条专利技术和合理化建议</w:t>
      </w:r>
      <w:r>
        <w:rPr>
          <w:rFonts w:hint="eastAsia" w:ascii="仿宋" w:hAnsi="仿宋" w:eastAsia="仿宋" w:cs="仿宋"/>
          <w:color w:val="auto"/>
          <w:szCs w:val="24"/>
          <w:highlight w:val="none"/>
          <w:u w:val="single"/>
          <w:lang w:val="en-US" w:eastAsia="zh-CN"/>
        </w:rPr>
        <w:t xml:space="preserve">   /   </w:t>
      </w:r>
      <w:r>
        <w:rPr>
          <w:rFonts w:hint="eastAsia" w:ascii="仿宋" w:hAnsi="仿宋" w:eastAsia="仿宋" w:cs="仿宋"/>
          <w:color w:val="auto"/>
          <w:szCs w:val="24"/>
          <w:highlight w:val="none"/>
          <w:u w:val="single"/>
          <w:lang w:val="en-US" w:eastAsia="zh-CN"/>
        </w:rPr>
        <w:br w:type="textWrapping"/>
      </w:r>
    </w:p>
    <w:p>
      <w:pPr>
        <w:rPr>
          <w:rFonts w:hint="eastAsia" w:ascii="仿宋" w:hAnsi="仿宋" w:eastAsia="仿宋" w:cs="仿宋"/>
          <w:b/>
          <w:bCs/>
          <w:color w:val="auto"/>
          <w:sz w:val="28"/>
          <w:szCs w:val="28"/>
          <w:highlight w:val="none"/>
          <w:u w:val="none"/>
          <w:lang w:val="en-US" w:eastAsia="zh-CN"/>
        </w:rPr>
      </w:pPr>
      <w:r>
        <w:rPr>
          <w:rFonts w:hint="eastAsia" w:ascii="仿宋" w:hAnsi="仿宋" w:eastAsia="仿宋" w:cs="仿宋"/>
          <w:b/>
          <w:bCs/>
          <w:color w:val="auto"/>
          <w:sz w:val="28"/>
          <w:szCs w:val="28"/>
          <w:highlight w:val="none"/>
          <w:u w:val="none"/>
          <w:lang w:val="en-US" w:eastAsia="zh-CN"/>
        </w:rPr>
        <w:br w:type="page"/>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color w:val="auto"/>
          <w:sz w:val="28"/>
          <w:szCs w:val="28"/>
          <w:highlight w:val="none"/>
          <w:u w:val="none"/>
          <w:lang w:val="en-US" w:eastAsia="zh-CN"/>
        </w:rPr>
      </w:pPr>
      <w:r>
        <w:rPr>
          <w:rFonts w:hint="eastAsia" w:ascii="仿宋" w:hAnsi="仿宋" w:eastAsia="仿宋" w:cs="仿宋"/>
          <w:b/>
          <w:bCs/>
          <w:color w:val="auto"/>
          <w:sz w:val="28"/>
          <w:szCs w:val="28"/>
          <w:highlight w:val="none"/>
          <w:u w:val="none"/>
          <w:lang w:val="en-US" w:eastAsia="zh-CN"/>
        </w:rPr>
        <w:t>技术条款</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1.一般规定</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第1条说明</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1.1工程概况：</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（1）工程位置，所属县；上下邻接；起至桩号等。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（2）工程类别：堤防工程，险工、控导护滩（岸）、防护坝工程，水闸工程等。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（3）工程数量：提防长度、险工、 控导护滩（岸）、助护坝工程座教及坝垛数、水闸座数等。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single"/>
          <w:lang w:val="en-US" w:eastAsia="zh-CN"/>
        </w:rPr>
      </w:pPr>
      <w:r>
        <w:rPr>
          <w:rFonts w:hint="eastAsia" w:ascii="仿宋" w:hAnsi="仿宋" w:eastAsia="仿宋" w:cs="仿宋"/>
          <w:color w:val="auto"/>
          <w:szCs w:val="24"/>
          <w:highlight w:val="none"/>
          <w:u w:val="none"/>
          <w:lang w:val="en-US" w:eastAsia="zh-CN"/>
        </w:rPr>
        <w:t>1. 2水文气象：气象特征、降水量及分布、气温</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1.3对外交通条件</w:t>
      </w:r>
      <w:r>
        <w:rPr>
          <w:rFonts w:hint="eastAsia" w:ascii="仿宋" w:hAnsi="仿宋" w:eastAsia="仿宋" w:cs="仿宋"/>
          <w:color w:val="auto"/>
          <w:szCs w:val="24"/>
          <w:highlight w:val="none"/>
          <w:u w:val="single"/>
          <w:lang w:val="en-US" w:eastAsia="zh-CN"/>
        </w:rPr>
        <w:t xml:space="preserve">              </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第2条合同项目工作范围及内容(承包范围及内容)</w:t>
      </w:r>
      <w:r>
        <w:rPr>
          <w:rFonts w:hint="eastAsia" w:ascii="仿宋" w:hAnsi="仿宋" w:eastAsia="仿宋" w:cs="仿宋"/>
          <w:color w:val="auto"/>
          <w:szCs w:val="24"/>
          <w:highlight w:val="none"/>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第3条维修养护工作会议与报表</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3.发包人在每周或每月定期召开周、月协调会议或专题会议，检查承包人的工作进度计划执行情况和维修养护工作质量情况，协调解决维修养护工作中存在的问题。</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3.2承包人应在每周成每月按发包人规定的格式提交周、 月进度报告，其主要内容有，上周(或月) 维修养护工作进度计划、要求和实际完成的累计工作量以及影响工作进度的因素和本周(月)采取的改进措施，维修养护工作质量(含质量事故和质量缺陷记录及处理情况)等。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第4条质量管理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4.1承包人应建立质量保证体系，选派有经验的维修养护技术人员对维修养护工作的各个环节的质量进行检查，及时向发包人报告检查中发现的问题，并提供必要的资料。</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4.2单项维修养护工作完成后，承包人应认真进行质量检查，符合工程维修养护标准后，报请发包人检查验收。</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第5条治安保卫与维修养护工作安全</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5.1承包人应教育维修养护人员遵纪守法，维护工地社会治安，协助治安管理机构做好治安保卫工作</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5.2承包人应对劳动保护、照明安全等安全防护工作负责，并制定安全防护规程，定期召开安全会议进行安全教育。在工作范围内设置必要的标志和信号。</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第6条环境保护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6.1承包人应遵守国家和地方有关环境保护的法规、规章，禁止随意弃土、堆放材料，禁止在河道内清洗装贮过油类或者有毒污染物的车辆、容器，不得使有害物质(扬尘、废水、废油)污染土地、河流。若因违反环境的有关规定而受到处罚或要求赔偿，承包人应负全部责任。</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6.2承包人应保持维修养护区和生活区的环境卫生，设置足够的临时卫生设施，定期清理维修养护废弃物和垃圾，井将其运至指定地点进行处理。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6.3在全部维修养护工作完成后，除已征得发包人同意的外，承包人必须拆除一切应该拆除的临时维修养护设施和临时生活设施。拆除后的场地应彻底清理。凡发包人决定保留的设施，由发包人与承包人协商解决处理的办法。</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第7条技术标准和规范</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 1承包人在执行本合同时，所有的材料、设备、维修养护工艺和维修养护工作质量检验均应遵照合同技术条款所引用的国家和行业颁布的技术标准和规程、规范的规定和技术要求。本合同引用的标准和规程、规范(不限于)：</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(1)《提防工程施工规范》 (s1260-98)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 《水利水电工程施工测量规范》 (s152-93)</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(3)《水利水电建设工程验收规程》 (sd223- 9999)</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 《提防工程施工质量评定与验收规程》 (s1239-1999）</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 《黄河防洪工程施工质量评定规程》 (试行) 水利部黄河水利委员会</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 《黄河水利委员会水利基本建设工程验收规程实施细则》</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(7)《黄河水利工程维修养护标准》 (试行)水利部黄河水利委员会</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 《提防工程养护修理规程》 (征求意见稿)</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(9)《水闸技术管理规程) (s175-94)</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(10)《水闸工程管理技术规范》 (s1170-98)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(11)《水利工程闸门及启闭机、升船设备管理等级评定办法》(试行)</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(12)《水闸安全鉴定规定》 (s1214-98)</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 工程维修养护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承包人应对工程进行日常巡查、保养和防护，及时恢复或局部改善原有工程面貌，保持工程完整、安全和正常运用:降雨期间应加强巡查，对因雨水对工程造成的损坏随时采取临时措施(如对积水进行合理排除或圈堵，及时关闭护路闸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第8条堤防工程</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8.1堤顶维修养护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(1)堤顶高程、宽度等主要技术指标应符合设计或竣工验收时的标准。</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(2)未硬化堤顶应保持花鼓顶，达到饱满平整，无车槽及明显凸凹、起伏:降雨期间及时排水，雨后无积水，平均每5. 0米长堤段纵向高差不应大于0. 1米，横向坡度宜保持在2%-3%。</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(3)硬化堤顶应保持无积水、无杂物，堤顶整洁，路面无损坏、裂缝、翻浆、脱皮、泛油、龟裂、啃边等现象。</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(4)泥结碎石堤顶应适时补充磨耗层和洒水养护，保持顶面平顺，无明显凸凹、起伏。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(5)堤肩应达到无明显坑洼，堤肩线平顺规整，应植草防护。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(6)边埂应达到埝面平整，埝线顺直，无杂草。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(7)堤防土牛应达到顶平坡顺，边角整齐，规整划- .</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(8) 备防石位置合理，摆放整齐，便于管理与抢险车辆通行，无坍垛、无杂草杂物，垛号、方量等标注清晰。</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(9)管护基地房台应达到边坡平顺、台面平整清洁、规整化一。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(10)提防路口不能蚕食堤顶， 硬化路口路面坚固无损。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(11)未硬化堤顶的维修养护应做到: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①根据堤顶干燥程度，及时进行洒水养护。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②对堤顶坑凹及时进行补土填平、夯实，雨后进行刮平碾压。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③堤顶泥泞期间及时关闭护路闸(杆)、排除积水。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8.2堤坡(淤区边坡)维修养护</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(1)堤坡(淤区边坡)应保持竣工验收时的坡度，坡面平顺，无残缺、水沟浪窝、陡坎、洞穴、陷坑、杂草杂物，无违章垦殖及取土现象，堤脚线明确。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(2)淤背区、淤临区、前戗、后戗高程、宽度、坡度等主要技术指标应符合设计或竣工验收时的标准。保持顶面平整，沟、埂整齐，内外缘高差符合设计要求。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(3)砌石堤坡和混凝土堤坡按险工、控导工程养护标准执行。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(4)对雨后出现的局部残缺和水沟浪窝、陷坑等，应及时按标准进行恢复，严格掌握工程质量。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(5)上堤辅道应保持完整、平顺，无沟坎、凹陷、残缺，无蚕食侵蚀堤身现象。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8.3护堤地维修养护:护堤地要达到地面平整，边界明确， 界沟、 界埂规整平顺，无违章取土现象，无杂物。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第9条险工、控导、护滩(岸)、防护坝工程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9.1坝、垛、护岸顶面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(1)宽度、高程符合竣工验收时或设计标准，顶面平整，无凸凹、裂缝、陷坑、浪窝，无乱石、杂物及高秆杂草等。</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(2)沿子石规整、无缺损、无勾缝脱落:眉子土(边埂) 平整、无缺损。</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 备防石位置合理，摆放整齐，便于管理与抢险交通，无坍垛、无杂草杂物，坝号、垛号、方量等标注清晰。</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9.2护坡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(1)土坝坡:坡面平顺，草皮覆盖完好，无高秆杂草、水沟浪窝、裂缝、洞穴、陷坑。</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(2)散抛块石护坡:坡面平顺，无浮石、无游石、无缺石，无明显外凸里凹现象，保持坡面清洁。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(3)干砌石护坡:坡面平顺、砌块完好、砌缝紧密，无松动、塌陷、架空，灰缝无脱落，坡面清洁。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(4)浆砌石护坡:坡面平顺、清洁，灰缝无脱落，无松动、变形。</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9.3根石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(1)根石台的高程、宽度、坡度等主要技术指标应符合设计或竣工验收时的标准。保持台面平整，无浮石、杂物。</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(2)根石坡平顺，无明显外凸里凹现象，无浮石、游石。</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(3)联坝参照堤防工程标准执行。</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第10条水闸工程</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10.1管理范围内应保持整洁美观，搞好绿化美化。</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default"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10.2土工建筑物无水沟浪窝、 墙陷、裂缝、渗漏、滑坡和洞穴等；排水系统、导渗及减压设施无损坏、堵塞、失效；土石结合部无异常渗漏。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10.3石工建筑物块石护坡无塌陷、松动、隆起、底部淘空、垫层散失；墩墙无倾斜、滑动，无勾缝脱落；排水设施无堵塞、损坏、失效。</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 4混凝土建筑物(含钢丝网水泥板）无裂缝、腐蚀、非正常磨损、剥蚀、露筋(网)及钢筋锈蚀等情况。</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10.5水下工程无冲刷破坏:消力池、门槽内无砂石杂物；伸缩缝止水无损坏，门糟、门坎的预埋件无损坏。</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 6闸门无变形、钙蚀，焊缝开裂或螺栓、铆钉锈蚀、松动；支承行走机构运转灵活:止水装置完好，门体表面涂层无大面积剥落。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10. 7启闭设备运转灵话、制动性能良好，无腐蚀，运用时无异常声响，钢丝绳无断丝、锈蚀，端头固定符合要求；零部件无缺损、裂纹、非正常磨损，螺杆无弯曲变形，油路通畅，油量、油质合乎规定要求</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10.8机电设备及防雷设施的设备、线路正常，接头牢固，安全保护装置是动作准确可靠，指示仅表指示准确、接地可靠，绝缘电阻值合乎规定，防雷设施安全可靠，备用电源完好可靠</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第11条围堤、格堤、防汛道路参照提防工程标准执行。</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第12条生物防护工程</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12.1防浪林、行道林、适生林、护堤地林及险工、控导、护滩(岸)、水闸的树木生长旺盛，无病虫，无滥砍滥伐和人、畜破坏。 行道林和险工、控导、水闸的树木修剪整齐、美观，鱼麟坑、浇水沟规整，存活率达到98%以上。防浪林、适生林、护堤地林株行距适宜，存活率应达95%以上，林区无高秆杂草。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12.2堤防、 险工、控导、水闸等适宜植草的工程部位，草皮整洁美观，覆盖率达到95%以上，无高秆杂草。</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12. 3有景观功能的工程绿化，可参照园林景区进行养护。</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第13条管理设施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 1位移、渗流、应力应变、震动反应等安全监测设施完好。</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 2远程监控系统的现场设施、设备(仪器、传感器等) 完好无损坏，运行正常。</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13.3排水沟完好，畅通无损坏，无孔洞暗沟、沟身无蛰陷、断裂，接头无漏水、阻塞，出口无冲坑悬空，沟内无淤泥、杂物。</w:t>
      </w:r>
      <w:r>
        <w:rPr>
          <w:rFonts w:hint="eastAsia" w:ascii="仿宋" w:hAnsi="仿宋" w:eastAsia="仿宋" w:cs="仿宋"/>
          <w:color w:val="auto"/>
          <w:szCs w:val="24"/>
          <w:highlight w:val="none"/>
          <w:u w:val="none"/>
          <w:lang w:val="en-US" w:eastAsia="zh-CN"/>
        </w:rPr>
        <w:br w:type="textWrapping"/>
      </w:r>
      <w:r>
        <w:rPr>
          <w:rFonts w:hint="eastAsia" w:ascii="仿宋" w:hAnsi="仿宋" w:eastAsia="仿宋" w:cs="仿宋"/>
          <w:color w:val="auto"/>
          <w:szCs w:val="24"/>
          <w:highlight w:val="none"/>
          <w:u w:val="none"/>
          <w:lang w:val="en-US" w:eastAsia="zh-CN"/>
        </w:rPr>
        <w:t>13.4公里桩、百米桩、边界桩、断面桩、坝号桩、高标桩、交界牌、指示牌、标志牌、责任牌、简介牌、纪念碑等埋设坚固，布局合理、尺度规范，标识清晰、醒目美观、无涂层脱落、无损坏和丢失。</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13.5水尺无损坏，标尺清晰，基座涂层无脱落:测流测沙桥完整、稳固，铁件无锈蚀、无涂层脱落。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6照明、通讯、安全防护等设施完好。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7护路闸(杆)开合灵活，标识齐全、醒目美观，埋设坚固无损坏，涂层无脱落。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8管护基地房屋、防汛屋、守险房、启闭机房、测流测沙房等，坚固完整、门窗</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齐全无损坏，墙体无裂缝、墙皮无脱落，房(屋)顶不漏水。</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leftChars="100" w:hanging="240" w:hanging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13. 9景点建筑物、构筑物及其他设施干净整洁无损坏、涂层醒目无脱落。</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480" w:hanging="480" w:hangingChars="2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第14条工程资料</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工程检查记录要清晰、准确、完整、规范，各类工程的维修养护资料要清晰整洁，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仿宋" w:hAnsi="仿宋" w:eastAsia="仿宋" w:cs="仿宋"/>
          <w:color w:val="auto"/>
          <w:szCs w:val="24"/>
          <w:highlight w:val="none"/>
          <w:u w:val="none"/>
          <w:lang w:val="en-US" w:eastAsia="zh-CN"/>
        </w:rPr>
      </w:pPr>
      <w:r>
        <w:rPr>
          <w:rFonts w:hint="eastAsia" w:ascii="仿宋" w:hAnsi="仿宋" w:eastAsia="仿宋" w:cs="仿宋"/>
          <w:color w:val="auto"/>
          <w:szCs w:val="24"/>
          <w:highlight w:val="none"/>
          <w:u w:val="none"/>
          <w:lang w:val="en-US" w:eastAsia="zh-CN"/>
        </w:rPr>
        <w:t>内容真实、齐全、准确、规范，并要求及时上报、存档。</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240" w:firstLineChars="100"/>
        <w:jc w:val="both"/>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u w:val="none"/>
          <w:lang w:val="en-US" w:eastAsia="zh-CN"/>
        </w:rPr>
        <w:t>维修养护资料包括:内部工作制度和办法，汛前汛后工程普查资料， 控导工程根石探测资料，堤防隐患探测资料，维修养护方案及实施计划，工程鉴定资料，原材料质量鉴定资料，检查检测试验资料，单项工程维修养护工作总结，维修养护大事记，维修养护日志，维修养护工作总结报告等。</w:t>
      </w:r>
      <w:r>
        <w:rPr>
          <w:rFonts w:hint="eastAsia" w:ascii="仿宋" w:hAnsi="仿宋" w:eastAsia="仿宋" w:cs="仿宋"/>
          <w:color w:val="auto"/>
          <w:szCs w:val="24"/>
          <w:highlight w:val="none"/>
        </w:rPr>
        <w:br w:type="page"/>
      </w:r>
    </w:p>
    <w:p>
      <w:pPr>
        <w:pStyle w:val="2"/>
        <w:rPr>
          <w:rFonts w:hint="eastAsia"/>
          <w:color w:val="auto"/>
          <w:highlight w:val="none"/>
        </w:rPr>
      </w:pPr>
    </w:p>
    <w:p>
      <w:pPr>
        <w:pStyle w:val="3"/>
        <w:numPr>
          <w:ilvl w:val="0"/>
          <w:numId w:val="11"/>
        </w:numPr>
        <w:spacing w:line="560" w:lineRule="exact"/>
        <w:jc w:val="center"/>
        <w:rPr>
          <w:rFonts w:hint="eastAsia" w:ascii="仿宋" w:hAnsi="仿宋" w:eastAsia="仿宋" w:cs="仿宋"/>
          <w:color w:val="auto"/>
          <w:highlight w:val="none"/>
        </w:rPr>
      </w:pPr>
      <w:bookmarkStart w:id="78" w:name="_Toc458617747"/>
      <w:bookmarkStart w:id="79" w:name="_Toc458617470"/>
      <w:r>
        <w:rPr>
          <w:rFonts w:hint="eastAsia" w:ascii="仿宋" w:hAnsi="仿宋" w:eastAsia="仿宋" w:cs="仿宋"/>
          <w:color w:val="auto"/>
          <w:highlight w:val="none"/>
        </w:rPr>
        <w:t xml:space="preserve"> </w:t>
      </w:r>
      <w:bookmarkStart w:id="80" w:name="_Toc8559"/>
      <w:r>
        <w:rPr>
          <w:rFonts w:hint="eastAsia" w:ascii="仿宋" w:hAnsi="仿宋" w:eastAsia="仿宋" w:cs="仿宋"/>
          <w:color w:val="auto"/>
          <w:highlight w:val="none"/>
        </w:rPr>
        <w:t>投标文件格式</w:t>
      </w:r>
      <w:bookmarkEnd w:id="78"/>
      <w:bookmarkEnd w:id="79"/>
      <w:bookmarkEnd w:id="80"/>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投标文件编制说明</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1.投标文件应当按照招标文件给定的格式和要求编制，格式之外的可自行编写。</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2.投标人必须按照招标文件的规定和要求在投标文件中指定的页面落款处加盖公章（鲜章）并由法定代表人或被授权人签字（或盖章），招标文件凡是要求法定代表人签字或盖章之处，非法人单位的负责人均参照执行。</w:t>
      </w:r>
    </w:p>
    <w:p>
      <w:pPr>
        <w:keepNext w:val="0"/>
        <w:keepLines w:val="0"/>
        <w:pageBreakBefore w:val="0"/>
        <w:kinsoku/>
        <w:overflowPunct/>
        <w:autoSpaceDN w:val="0"/>
        <w:bidi w:val="0"/>
        <w:adjustRightInd w:val="0"/>
        <w:spacing w:line="64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3.投标文件须编制目录和页码，在每一页的正下方清楚标明“第几页共几页”字样。</w:t>
      </w:r>
    </w:p>
    <w:p>
      <w:pPr>
        <w:spacing w:line="600" w:lineRule="exact"/>
        <w:rPr>
          <w:rFonts w:hint="eastAsia" w:ascii="宋体" w:hAnsi="宋体" w:cs="宋体"/>
          <w:color w:val="auto"/>
          <w:sz w:val="28"/>
          <w:szCs w:val="28"/>
          <w:highlight w:val="none"/>
        </w:rPr>
      </w:pPr>
    </w:p>
    <w:p>
      <w:pPr>
        <w:spacing w:line="560" w:lineRule="exact"/>
        <w:ind w:left="240" w:leftChars="100"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pStyle w:val="2"/>
        <w:rPr>
          <w:rFonts w:hint="eastAsia" w:ascii="仿宋" w:hAnsi="仿宋" w:eastAsia="仿宋" w:cs="仿宋"/>
          <w:color w:val="auto"/>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spacing w:line="560" w:lineRule="exact"/>
        <w:ind w:firstLine="4003" w:firstLineChars="1246"/>
        <w:rPr>
          <w:rFonts w:hint="eastAsia" w:ascii="仿宋" w:hAnsi="仿宋" w:eastAsia="仿宋" w:cs="仿宋"/>
          <w:b/>
          <w:color w:val="auto"/>
          <w:sz w:val="32"/>
          <w:szCs w:val="32"/>
          <w:highlight w:val="none"/>
        </w:rPr>
      </w:pPr>
    </w:p>
    <w:p>
      <w:pPr>
        <w:pStyle w:val="2"/>
        <w:rPr>
          <w:rFonts w:hint="eastAsia" w:ascii="仿宋" w:hAnsi="仿宋" w:eastAsia="仿宋" w:cs="仿宋"/>
          <w:color w:val="auto"/>
          <w:highlight w:val="none"/>
        </w:rPr>
      </w:pPr>
    </w:p>
    <w:p>
      <w:pPr>
        <w:rPr>
          <w:rFonts w:hint="eastAsia"/>
          <w:color w:val="auto"/>
          <w:highlight w:val="none"/>
        </w:rPr>
      </w:pPr>
    </w:p>
    <w:p>
      <w:pPr>
        <w:spacing w:line="640" w:lineRule="exact"/>
        <w:jc w:val="right"/>
        <w:rPr>
          <w:rFonts w:hint="eastAsia" w:ascii="仿宋" w:hAnsi="仿宋" w:eastAsia="仿宋" w:cs="仿宋"/>
          <w:b/>
          <w:color w:val="auto"/>
          <w:sz w:val="36"/>
          <w:szCs w:val="36"/>
          <w:highlight w:val="none"/>
        </w:rPr>
      </w:pPr>
    </w:p>
    <w:p>
      <w:pPr>
        <w:spacing w:line="640" w:lineRule="exact"/>
        <w:jc w:val="right"/>
        <w:rPr>
          <w:rFonts w:hint="eastAsia" w:ascii="仿宋" w:hAnsi="仿宋" w:eastAsia="仿宋" w:cs="仿宋"/>
          <w:b/>
          <w:color w:val="auto"/>
          <w:sz w:val="36"/>
          <w:szCs w:val="36"/>
          <w:highlight w:val="none"/>
        </w:rPr>
      </w:pPr>
      <w:r>
        <w:rPr>
          <w:color w:val="auto"/>
          <w:sz w:val="36"/>
          <w:highlight w:val="none"/>
        </w:rPr>
        <w:pict>
          <v:shape id="_x0000_s1042" o:spid="_x0000_s1042" o:spt="202" type="#_x0000_t202" style="position:absolute;left:0pt;margin-left:326.1pt;margin-top:12pt;height:29.15pt;width:117.7pt;z-index:251666432;mso-width-relative:page;mso-height-relative:page;" fillcolor="#FFFFFF" filled="t" stroked="t" coordsize="21600,21600">
            <v:path/>
            <v:fill on="t" color2="#FFFFFF" focussize="0,0"/>
            <v:stroke color="#000000"/>
            <v:imagedata o:title=""/>
            <o:lock v:ext="edit" aspectratio="f"/>
            <v:textbox>
              <w:txbxContent>
                <w:p>
                  <w:pPr>
                    <w:jc w:val="center"/>
                    <w:rPr>
                      <w:rFonts w:hint="eastAsia" w:ascii="仿宋" w:hAnsi="仿宋" w:eastAsia="仿宋" w:cs="仿宋"/>
                      <w:sz w:val="32"/>
                      <w:szCs w:val="28"/>
                      <w:lang w:eastAsia="zh-CN"/>
                    </w:rPr>
                  </w:pPr>
                  <w:r>
                    <w:rPr>
                      <w:rFonts w:hint="eastAsia" w:ascii="仿宋" w:hAnsi="仿宋" w:eastAsia="仿宋" w:cs="仿宋"/>
                      <w:b/>
                      <w:bCs/>
                      <w:sz w:val="32"/>
                      <w:szCs w:val="28"/>
                      <w:lang w:eastAsia="zh-CN"/>
                    </w:rPr>
                    <w:t>政府采购项目</w:t>
                  </w:r>
                </w:p>
              </w:txbxContent>
            </v:textbox>
          </v:shape>
        </w:pict>
      </w:r>
    </w:p>
    <w:p>
      <w:pPr>
        <w:spacing w:line="560" w:lineRule="exact"/>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 xml:space="preserve"> </w:t>
      </w:r>
    </w:p>
    <w:p>
      <w:pPr>
        <w:spacing w:line="560" w:lineRule="exact"/>
        <w:rPr>
          <w:rFonts w:hint="eastAsia" w:ascii="仿宋" w:hAnsi="仿宋" w:eastAsia="仿宋" w:cs="仿宋"/>
          <w:b/>
          <w:color w:val="auto"/>
          <w:sz w:val="36"/>
          <w:szCs w:val="36"/>
          <w:highlight w:val="none"/>
        </w:rPr>
      </w:pPr>
    </w:p>
    <w:p>
      <w:pPr>
        <w:pageBreakBefore w:val="0"/>
        <w:bidi w:val="0"/>
        <w:spacing w:line="560" w:lineRule="exact"/>
        <w:textAlignment w:val="auto"/>
        <w:rPr>
          <w:rFonts w:hint="default" w:ascii="仿宋" w:hAnsi="仿宋" w:eastAsia="仿宋" w:cs="仿宋"/>
          <w:b/>
          <w:color w:val="auto"/>
          <w:sz w:val="36"/>
          <w:szCs w:val="36"/>
          <w:highlight w:val="none"/>
          <w:lang w:val="en-US"/>
        </w:rPr>
      </w:pPr>
      <w:r>
        <w:rPr>
          <w:rFonts w:hint="eastAsia" w:ascii="仿宋" w:hAnsi="仿宋" w:eastAsia="仿宋" w:cs="仿宋"/>
          <w:b/>
          <w:color w:val="auto"/>
          <w:sz w:val="36"/>
          <w:szCs w:val="36"/>
          <w:highlight w:val="none"/>
        </w:rPr>
        <w:t xml:space="preserve">文件编号: </w:t>
      </w:r>
      <w:r>
        <w:rPr>
          <w:rFonts w:hint="eastAsia" w:ascii="仿宋" w:hAnsi="仿宋" w:eastAsia="仿宋" w:cs="仿宋"/>
          <w:b/>
          <w:color w:val="auto"/>
          <w:sz w:val="36"/>
          <w:szCs w:val="36"/>
          <w:highlight w:val="none"/>
          <w:lang w:eastAsia="zh-CN"/>
        </w:rPr>
        <w:t>ZAGL-2023-008</w:t>
      </w:r>
      <w:r>
        <w:rPr>
          <w:rFonts w:hint="eastAsia" w:ascii="仿宋" w:hAnsi="仿宋" w:eastAsia="仿宋" w:cs="仿宋"/>
          <w:b/>
          <w:color w:val="auto"/>
          <w:sz w:val="36"/>
          <w:szCs w:val="36"/>
          <w:highlight w:val="none"/>
          <w:lang w:val="en-US" w:eastAsia="zh-CN"/>
        </w:rPr>
        <w:t>-03</w:t>
      </w:r>
    </w:p>
    <w:p>
      <w:pPr>
        <w:spacing w:line="560" w:lineRule="exact"/>
        <w:rPr>
          <w:rFonts w:hint="eastAsia" w:ascii="仿宋" w:hAnsi="仿宋" w:eastAsia="仿宋" w:cs="仿宋"/>
          <w:b/>
          <w:color w:val="auto"/>
          <w:sz w:val="36"/>
          <w:szCs w:val="36"/>
          <w:highlight w:val="none"/>
          <w:lang w:eastAsia="zh-CN"/>
        </w:rPr>
      </w:pPr>
    </w:p>
    <w:p>
      <w:pPr>
        <w:spacing w:line="560" w:lineRule="exact"/>
        <w:rPr>
          <w:rFonts w:hint="eastAsia" w:ascii="仿宋" w:hAnsi="仿宋" w:eastAsia="仿宋" w:cs="仿宋"/>
          <w:b/>
          <w:color w:val="auto"/>
          <w:sz w:val="36"/>
          <w:szCs w:val="36"/>
          <w:highlight w:val="none"/>
        </w:rPr>
      </w:pPr>
    </w:p>
    <w:p>
      <w:pPr>
        <w:spacing w:beforeLines="50" w:line="560" w:lineRule="exact"/>
        <w:ind w:right="-998" w:rightChars="-416"/>
        <w:rPr>
          <w:rFonts w:hint="eastAsia" w:ascii="仿宋" w:hAnsi="仿宋" w:eastAsia="仿宋" w:cs="仿宋"/>
          <w:b/>
          <w:bCs/>
          <w:color w:val="auto"/>
          <w:spacing w:val="52"/>
          <w:kern w:val="0"/>
          <w:sz w:val="15"/>
          <w:szCs w:val="15"/>
          <w:highlight w:val="none"/>
        </w:rPr>
      </w:pPr>
    </w:p>
    <w:p>
      <w:pPr>
        <w:spacing w:beforeLines="50" w:line="560" w:lineRule="exact"/>
        <w:ind w:right="-998" w:rightChars="-416"/>
        <w:jc w:val="both"/>
        <w:rPr>
          <w:rFonts w:hint="eastAsia" w:ascii="仿宋" w:hAnsi="仿宋" w:eastAsia="仿宋" w:cs="仿宋"/>
          <w:b/>
          <w:color w:val="auto"/>
          <w:spacing w:val="-22"/>
          <w:sz w:val="56"/>
          <w:szCs w:val="56"/>
          <w:highlight w:val="none"/>
          <w:shd w:val="clear" w:color="auto" w:fill="FFFFFF"/>
          <w:lang w:eastAsia="zh-CN"/>
        </w:rPr>
      </w:pPr>
    </w:p>
    <w:p>
      <w:pPr>
        <w:spacing w:beforeLines="50" w:line="560" w:lineRule="exact"/>
        <w:ind w:right="-998" w:rightChars="-416"/>
        <w:jc w:val="center"/>
        <w:rPr>
          <w:rFonts w:hint="eastAsia" w:ascii="仿宋" w:hAnsi="仿宋" w:eastAsia="仿宋" w:cs="仿宋"/>
          <w:b/>
          <w:bCs/>
          <w:color w:val="auto"/>
          <w:spacing w:val="20"/>
          <w:kern w:val="0"/>
          <w:sz w:val="52"/>
          <w:szCs w:val="52"/>
          <w:highlight w:val="none"/>
        </w:rPr>
      </w:pPr>
      <w:r>
        <w:rPr>
          <w:rFonts w:hint="eastAsia" w:ascii="仿宋" w:hAnsi="仿宋" w:eastAsia="仿宋" w:cs="仿宋"/>
          <w:b/>
          <w:color w:val="auto"/>
          <w:spacing w:val="-22"/>
          <w:sz w:val="56"/>
          <w:szCs w:val="56"/>
          <w:highlight w:val="none"/>
          <w:shd w:val="clear" w:color="auto" w:fill="FFFFFF"/>
          <w:lang w:eastAsia="zh-CN"/>
        </w:rPr>
        <w:t>渭河高陵段已建成工程维修养护项目</w:t>
      </w:r>
    </w:p>
    <w:p>
      <w:pPr>
        <w:spacing w:beforeLines="50" w:line="560" w:lineRule="exact"/>
        <w:ind w:right="-998" w:rightChars="-416"/>
        <w:jc w:val="center"/>
        <w:rPr>
          <w:rFonts w:hint="eastAsia" w:ascii="仿宋" w:hAnsi="仿宋" w:eastAsia="仿宋" w:cs="仿宋"/>
          <w:b/>
          <w:bCs/>
          <w:color w:val="auto"/>
          <w:sz w:val="28"/>
          <w:szCs w:val="24"/>
          <w:highlight w:val="none"/>
          <w:lang w:val="en-US" w:eastAsia="zh-CN"/>
        </w:rPr>
      </w:pPr>
    </w:p>
    <w:p>
      <w:pPr>
        <w:spacing w:beforeLines="50" w:line="560" w:lineRule="exact"/>
        <w:ind w:right="-998" w:rightChars="-416"/>
        <w:jc w:val="center"/>
        <w:rPr>
          <w:rFonts w:hint="eastAsia" w:ascii="仿宋" w:hAnsi="仿宋" w:eastAsia="仿宋" w:cs="仿宋"/>
          <w:b/>
          <w:bCs/>
          <w:color w:val="auto"/>
          <w:spacing w:val="20"/>
          <w:kern w:val="0"/>
          <w:sz w:val="96"/>
          <w:szCs w:val="96"/>
          <w:highlight w:val="none"/>
        </w:rPr>
      </w:pPr>
      <w:r>
        <w:rPr>
          <w:rFonts w:hint="eastAsia" w:ascii="仿宋" w:hAnsi="仿宋" w:eastAsia="仿宋" w:cs="仿宋"/>
          <w:b/>
          <w:bCs/>
          <w:color w:val="auto"/>
          <w:sz w:val="28"/>
          <w:szCs w:val="24"/>
          <w:highlight w:val="none"/>
          <w:lang w:val="en-US" w:eastAsia="zh-CN"/>
        </w:rPr>
        <w:t>第三标段：渭河左岸咸阳交界处至泾河入渭口大桥北桥头</w:t>
      </w: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p>
    <w:p>
      <w:pPr>
        <w:spacing w:beforeLines="50" w:line="560" w:lineRule="exact"/>
        <w:ind w:right="-998" w:rightChars="-416" w:firstLine="2960" w:firstLineChars="388"/>
        <w:rPr>
          <w:rFonts w:hint="eastAsia" w:ascii="仿宋" w:hAnsi="仿宋" w:eastAsia="仿宋" w:cs="仿宋"/>
          <w:b/>
          <w:bCs/>
          <w:color w:val="auto"/>
          <w:spacing w:val="20"/>
          <w:kern w:val="0"/>
          <w:sz w:val="72"/>
          <w:szCs w:val="72"/>
          <w:highlight w:val="none"/>
        </w:rPr>
      </w:pPr>
      <w:r>
        <w:rPr>
          <w:rFonts w:hint="eastAsia" w:ascii="仿宋" w:hAnsi="仿宋" w:eastAsia="仿宋" w:cs="仿宋"/>
          <w:b/>
          <w:bCs/>
          <w:color w:val="auto"/>
          <w:spacing w:val="20"/>
          <w:kern w:val="0"/>
          <w:sz w:val="72"/>
          <w:szCs w:val="72"/>
          <w:highlight w:val="none"/>
        </w:rPr>
        <w:t>投标文件</w:t>
      </w:r>
    </w:p>
    <w:p>
      <w:pPr>
        <w:spacing w:line="560" w:lineRule="exact"/>
        <w:rPr>
          <w:rFonts w:hint="eastAsia" w:ascii="仿宋" w:hAnsi="仿宋" w:eastAsia="仿宋" w:cs="仿宋"/>
          <w:color w:val="auto"/>
          <w:sz w:val="32"/>
          <w:highlight w:val="none"/>
        </w:rPr>
      </w:pPr>
    </w:p>
    <w:p>
      <w:pPr>
        <w:spacing w:line="560" w:lineRule="exact"/>
        <w:rPr>
          <w:rFonts w:hint="eastAsia" w:ascii="仿宋" w:hAnsi="仿宋" w:eastAsia="仿宋" w:cs="仿宋"/>
          <w:color w:val="auto"/>
          <w:sz w:val="32"/>
          <w:highlight w:val="none"/>
        </w:rPr>
      </w:pPr>
    </w:p>
    <w:p>
      <w:pPr>
        <w:pStyle w:val="2"/>
        <w:rPr>
          <w:rFonts w:hint="eastAsia" w:ascii="仿宋" w:hAnsi="仿宋" w:eastAsia="仿宋" w:cs="仿宋"/>
          <w:color w:val="auto"/>
          <w:sz w:val="32"/>
          <w:highlight w:val="none"/>
        </w:rPr>
      </w:pPr>
    </w:p>
    <w:p>
      <w:pPr>
        <w:rPr>
          <w:rFonts w:hint="eastAsia" w:ascii="仿宋" w:hAnsi="仿宋" w:eastAsia="仿宋" w:cs="仿宋"/>
          <w:color w:val="auto"/>
          <w:highlight w:val="none"/>
        </w:rPr>
      </w:pPr>
    </w:p>
    <w:p>
      <w:pPr>
        <w:spacing w:beforeLines="70" w:line="560" w:lineRule="exact"/>
        <w:ind w:firstLine="1634" w:firstLineChars="550"/>
        <w:rPr>
          <w:rFonts w:hint="eastAsia" w:ascii="仿宋" w:hAnsi="仿宋" w:eastAsia="仿宋" w:cs="仿宋"/>
          <w:b/>
          <w:bCs/>
          <w:color w:val="auto"/>
          <w:spacing w:val="8"/>
          <w:sz w:val="28"/>
          <w:szCs w:val="28"/>
          <w:highlight w:val="none"/>
          <w:u w:val="single"/>
        </w:rPr>
      </w:pPr>
      <w:r>
        <w:rPr>
          <w:rFonts w:hint="eastAsia" w:ascii="仿宋" w:hAnsi="仿宋" w:eastAsia="仿宋" w:cs="仿宋"/>
          <w:b/>
          <w:color w:val="auto"/>
          <w:spacing w:val="8"/>
          <w:sz w:val="28"/>
          <w:szCs w:val="28"/>
          <w:highlight w:val="none"/>
        </w:rPr>
        <w:t>投 标 单 位：</w:t>
      </w:r>
      <w:r>
        <w:rPr>
          <w:rFonts w:hint="eastAsia" w:ascii="仿宋" w:hAnsi="仿宋" w:eastAsia="仿宋" w:cs="仿宋"/>
          <w:b/>
          <w:color w:val="auto"/>
          <w:spacing w:val="8"/>
          <w:sz w:val="28"/>
          <w:szCs w:val="28"/>
          <w:highlight w:val="none"/>
          <w:u w:val="single"/>
        </w:rPr>
        <w:t xml:space="preserve">                       </w:t>
      </w:r>
      <w:r>
        <w:rPr>
          <w:rFonts w:hint="eastAsia" w:ascii="仿宋" w:hAnsi="仿宋" w:eastAsia="仿宋" w:cs="仿宋"/>
          <w:b/>
          <w:color w:val="auto"/>
          <w:spacing w:val="8"/>
          <w:sz w:val="28"/>
          <w:szCs w:val="28"/>
          <w:highlight w:val="none"/>
        </w:rPr>
        <w:t xml:space="preserve">                       </w:t>
      </w:r>
    </w:p>
    <w:p>
      <w:pPr>
        <w:spacing w:beforeLines="70" w:line="560" w:lineRule="exact"/>
        <w:ind w:firstLine="1661" w:firstLineChars="591"/>
        <w:rPr>
          <w:rFonts w:hint="eastAsia" w:ascii="仿宋" w:hAnsi="仿宋" w:eastAsia="仿宋" w:cs="仿宋"/>
          <w:b/>
          <w:bCs/>
          <w:color w:val="auto"/>
          <w:sz w:val="28"/>
          <w:szCs w:val="28"/>
          <w:highlight w:val="none"/>
          <w:u w:val="single"/>
        </w:rPr>
      </w:pPr>
      <w:r>
        <w:rPr>
          <w:rFonts w:hint="eastAsia" w:ascii="仿宋" w:hAnsi="仿宋" w:eastAsia="仿宋" w:cs="仿宋"/>
          <w:b/>
          <w:color w:val="auto"/>
          <w:sz w:val="28"/>
          <w:szCs w:val="28"/>
          <w:highlight w:val="none"/>
        </w:rPr>
        <w:t>采购代理机构：</w:t>
      </w:r>
      <w:r>
        <w:rPr>
          <w:rFonts w:hint="eastAsia" w:ascii="仿宋" w:hAnsi="仿宋" w:eastAsia="仿宋" w:cs="仿宋"/>
          <w:b/>
          <w:color w:val="auto"/>
          <w:sz w:val="28"/>
          <w:szCs w:val="28"/>
          <w:highlight w:val="none"/>
          <w:u w:val="single"/>
        </w:rPr>
        <w:t xml:space="preserve">                          </w:t>
      </w:r>
    </w:p>
    <w:p>
      <w:pPr>
        <w:spacing w:line="560" w:lineRule="exact"/>
        <w:ind w:firstLine="1661" w:firstLineChars="591"/>
        <w:rPr>
          <w:rFonts w:hint="eastAsia" w:ascii="仿宋" w:hAnsi="仿宋" w:eastAsia="仿宋" w:cs="仿宋"/>
          <w:b/>
          <w:color w:val="auto"/>
          <w:sz w:val="32"/>
          <w:szCs w:val="32"/>
          <w:highlight w:val="none"/>
        </w:rPr>
      </w:pPr>
      <w:r>
        <w:rPr>
          <w:rFonts w:hint="eastAsia" w:ascii="仿宋" w:hAnsi="仿宋" w:eastAsia="仿宋" w:cs="仿宋"/>
          <w:b/>
          <w:color w:val="auto"/>
          <w:sz w:val="28"/>
          <w:szCs w:val="28"/>
          <w:highlight w:val="none"/>
        </w:rPr>
        <w:t>时        间：</w:t>
      </w:r>
      <w:r>
        <w:rPr>
          <w:rFonts w:hint="eastAsia" w:ascii="仿宋" w:hAnsi="仿宋" w:eastAsia="仿宋" w:cs="仿宋"/>
          <w:b/>
          <w:color w:val="auto"/>
          <w:sz w:val="28"/>
          <w:szCs w:val="28"/>
          <w:highlight w:val="none"/>
          <w:u w:val="single"/>
        </w:rPr>
        <w:t xml:space="preserve">                          </w:t>
      </w:r>
      <w:bookmarkStart w:id="81" w:name="_Toc193187097"/>
      <w:bookmarkStart w:id="82" w:name="_Toc167591144"/>
      <w:bookmarkStart w:id="83" w:name="_Toc167849360"/>
      <w:bookmarkStart w:id="84" w:name="_Toc167591043"/>
      <w:bookmarkStart w:id="85" w:name="_Toc154482479"/>
      <w:bookmarkStart w:id="86" w:name="_Toc170980552"/>
      <w:bookmarkStart w:id="87" w:name="_Toc169846776"/>
      <w:bookmarkStart w:id="88" w:name="_Toc175032437"/>
      <w:bookmarkStart w:id="89" w:name="_Toc169838532"/>
      <w:bookmarkStart w:id="90" w:name="_Toc170980453"/>
      <w:bookmarkStart w:id="91" w:name="_Toc167591330"/>
      <w:bookmarkStart w:id="92" w:name="_Toc167590775"/>
      <w:bookmarkStart w:id="93" w:name="_Toc167591492"/>
      <w:bookmarkStart w:id="94" w:name="_Toc169846873"/>
      <w:bookmarkStart w:id="95" w:name="_Toc194663918"/>
      <w:bookmarkStart w:id="96" w:name="_Toc173549978"/>
      <w:bookmarkStart w:id="97" w:name="_Toc175033592"/>
      <w:bookmarkStart w:id="98" w:name="_Toc188808833"/>
      <w:bookmarkStart w:id="99" w:name="_Toc193126881"/>
    </w:p>
    <w:p>
      <w:pPr>
        <w:rPr>
          <w:rFonts w:hint="eastAsia" w:ascii="仿宋" w:hAnsi="仿宋" w:eastAsia="仿宋" w:cs="仿宋"/>
          <w:color w:val="auto"/>
          <w:highlight w:val="none"/>
        </w:rPr>
      </w:pPr>
    </w:p>
    <w:p>
      <w:pP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br w:type="page"/>
      </w:r>
    </w:p>
    <w:p>
      <w:pPr>
        <w:spacing w:line="560" w:lineRule="exact"/>
        <w:jc w:val="center"/>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500" w:lineRule="exact"/>
        <w:ind w:firstLine="1200" w:firstLineChars="500"/>
        <w:rPr>
          <w:rFonts w:hint="eastAsia" w:ascii="仿宋" w:hAnsi="仿宋" w:eastAsia="仿宋" w:cs="仿宋"/>
          <w:color w:val="auto"/>
          <w:szCs w:val="24"/>
          <w:highlight w:val="none"/>
        </w:rPr>
      </w:pPr>
    </w:p>
    <w:p>
      <w:pPr>
        <w:spacing w:line="500" w:lineRule="exact"/>
        <w:ind w:firstLine="1200" w:firstLineChars="500"/>
        <w:rPr>
          <w:rFonts w:hint="eastAsia" w:ascii="仿宋" w:hAnsi="仿宋" w:eastAsia="仿宋" w:cs="仿宋"/>
          <w:color w:val="auto"/>
          <w:szCs w:val="24"/>
          <w:highlight w:val="none"/>
        </w:rPr>
      </w:pP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1．投标函（格式）</w:t>
      </w:r>
    </w:p>
    <w:p>
      <w:pPr>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rPr>
        <w:t>2．开标一览表（格式）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3．投标分项报价表（格式）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val="en-US" w:eastAsia="zh-CN"/>
        </w:rPr>
        <w:t>服务</w:t>
      </w:r>
      <w:r>
        <w:rPr>
          <w:rFonts w:hint="eastAsia" w:ascii="仿宋" w:hAnsi="仿宋" w:eastAsia="仿宋" w:cs="仿宋"/>
          <w:color w:val="auto"/>
          <w:szCs w:val="24"/>
          <w:highlight w:val="none"/>
        </w:rPr>
        <w:t>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．商务条款响应偏离表（格式）</w:t>
      </w:r>
    </w:p>
    <w:p>
      <w:pPr>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 资格证明文件</w:t>
      </w:r>
    </w:p>
    <w:p>
      <w:pPr>
        <w:autoSpaceDE w:val="0"/>
        <w:autoSpaceDN w:val="0"/>
        <w:spacing w:line="500" w:lineRule="exact"/>
        <w:ind w:firstLine="1200" w:firstLineChars="5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 20</w:t>
      </w:r>
      <w:r>
        <w:rPr>
          <w:rFonts w:hint="eastAsia" w:ascii="仿宋" w:hAnsi="仿宋" w:eastAsia="仿宋" w:cs="仿宋"/>
          <w:color w:val="auto"/>
          <w:szCs w:val="24"/>
          <w:highlight w:val="none"/>
          <w:lang w:val="en-US" w:eastAsia="zh-CN"/>
        </w:rPr>
        <w:t>20</w:t>
      </w:r>
      <w:r>
        <w:rPr>
          <w:rFonts w:hint="eastAsia" w:ascii="仿宋" w:hAnsi="仿宋" w:eastAsia="仿宋" w:cs="仿宋"/>
          <w:color w:val="auto"/>
          <w:szCs w:val="24"/>
          <w:highlight w:val="none"/>
        </w:rPr>
        <w:t>年1月</w:t>
      </w:r>
      <w:r>
        <w:rPr>
          <w:rFonts w:hint="eastAsia" w:ascii="仿宋" w:hAnsi="仿宋" w:eastAsia="仿宋" w:cs="仿宋"/>
          <w:color w:val="auto"/>
          <w:szCs w:val="24"/>
          <w:highlight w:val="none"/>
          <w:lang w:val="en-US" w:eastAsia="zh-CN"/>
        </w:rPr>
        <w:t>1日</w:t>
      </w:r>
      <w:r>
        <w:rPr>
          <w:rFonts w:hint="eastAsia" w:ascii="仿宋" w:hAnsi="仿宋" w:eastAsia="仿宋" w:cs="仿宋"/>
          <w:color w:val="auto"/>
          <w:szCs w:val="24"/>
          <w:highlight w:val="none"/>
        </w:rPr>
        <w:t>至今类似项目业绩（以合同为准</w:t>
      </w:r>
      <w:r>
        <w:rPr>
          <w:rFonts w:hint="eastAsia" w:ascii="仿宋" w:hAnsi="仿宋" w:eastAsia="仿宋" w:cs="仿宋"/>
          <w:color w:val="auto"/>
          <w:szCs w:val="24"/>
          <w:highlight w:val="none"/>
          <w:lang w:eastAsia="zh-CN"/>
        </w:rPr>
        <w:t>，</w:t>
      </w:r>
      <w:r>
        <w:rPr>
          <w:rFonts w:hint="eastAsia" w:ascii="仿宋" w:hAnsi="仿宋" w:eastAsia="仿宋" w:cs="仿宋"/>
          <w:color w:val="auto"/>
          <w:szCs w:val="24"/>
          <w:highlight w:val="none"/>
          <w:lang w:val="en-US" w:eastAsia="zh-CN"/>
        </w:rPr>
        <w:t>复印件加盖公章</w:t>
      </w:r>
      <w:r>
        <w:rPr>
          <w:rFonts w:hint="eastAsia" w:ascii="仿宋" w:hAnsi="仿宋" w:eastAsia="仿宋" w:cs="仿宋"/>
          <w:color w:val="auto"/>
          <w:szCs w:val="24"/>
          <w:highlight w:val="none"/>
        </w:rPr>
        <w:t>）</w:t>
      </w:r>
    </w:p>
    <w:p>
      <w:pPr>
        <w:spacing w:line="500" w:lineRule="exact"/>
        <w:ind w:firstLine="1200" w:firstLineChars="500"/>
        <w:rPr>
          <w:rFonts w:hint="eastAsia" w:ascii="仿宋" w:hAnsi="仿宋" w:eastAsia="仿宋" w:cs="仿宋"/>
          <w:color w:val="auto"/>
          <w:kern w:val="0"/>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w:t>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服务</w:t>
      </w:r>
      <w:r>
        <w:rPr>
          <w:rFonts w:hint="eastAsia" w:ascii="仿宋" w:hAnsi="仿宋" w:eastAsia="仿宋" w:cs="仿宋"/>
          <w:color w:val="auto"/>
          <w:kern w:val="0"/>
          <w:szCs w:val="24"/>
          <w:highlight w:val="none"/>
        </w:rPr>
        <w:t>方案</w:t>
      </w:r>
    </w:p>
    <w:p>
      <w:pPr>
        <w:spacing w:line="500" w:lineRule="exact"/>
        <w:ind w:firstLine="1200" w:firstLineChars="500"/>
        <w:rPr>
          <w:rFonts w:hint="eastAsia" w:ascii="仿宋" w:hAnsi="仿宋" w:eastAsia="仿宋" w:cs="仿宋"/>
          <w:color w:val="auto"/>
          <w:szCs w:val="24"/>
          <w:highlight w:val="none"/>
          <w:lang w:eastAsia="zh-CN"/>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 售后服务</w:t>
      </w:r>
      <w:r>
        <w:rPr>
          <w:rFonts w:hint="eastAsia" w:ascii="仿宋" w:hAnsi="仿宋" w:eastAsia="仿宋" w:cs="仿宋"/>
          <w:color w:val="auto"/>
          <w:szCs w:val="24"/>
          <w:highlight w:val="none"/>
          <w:lang w:val="en-US" w:eastAsia="zh-CN"/>
        </w:rPr>
        <w:t>承诺</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0</w:t>
      </w:r>
      <w:r>
        <w:rPr>
          <w:rFonts w:hint="eastAsia" w:ascii="仿宋" w:hAnsi="仿宋" w:eastAsia="仿宋" w:cs="仿宋"/>
          <w:color w:val="auto"/>
          <w:szCs w:val="24"/>
          <w:highlight w:val="none"/>
        </w:rPr>
        <w:t>. 投标人认为有必要说明的事宜（若有）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rPr>
        <w:t>1</w:t>
      </w: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 xml:space="preserve">. </w:t>
      </w:r>
      <w:r>
        <w:rPr>
          <w:rFonts w:hint="eastAsia" w:ascii="仿宋" w:hAnsi="仿宋" w:eastAsia="仿宋" w:cs="仿宋"/>
          <w:strike w:val="0"/>
          <w:dstrike w:val="0"/>
          <w:color w:val="auto"/>
          <w:szCs w:val="24"/>
          <w:highlight w:val="none"/>
          <w:lang w:eastAsia="zh-CN"/>
        </w:rPr>
        <w:t>投标人承诺书</w:t>
      </w:r>
      <w:r>
        <w:rPr>
          <w:rFonts w:hint="eastAsia" w:ascii="仿宋" w:hAnsi="仿宋" w:eastAsia="仿宋" w:cs="仿宋"/>
          <w:color w:val="auto"/>
          <w:szCs w:val="24"/>
          <w:highlight w:val="none"/>
        </w:rPr>
        <w:t>（格式）</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12</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lang w:eastAsia="zh-CN"/>
        </w:rPr>
        <w:t>中小</w:t>
      </w:r>
      <w:r>
        <w:rPr>
          <w:rFonts w:hint="eastAsia" w:ascii="仿宋" w:hAnsi="仿宋" w:eastAsia="仿宋" w:cs="仿宋"/>
          <w:color w:val="auto"/>
          <w:szCs w:val="24"/>
          <w:highlight w:val="none"/>
        </w:rPr>
        <w:t>企业声明函》（格式，若有）</w:t>
      </w:r>
    </w:p>
    <w:p>
      <w:pPr>
        <w:autoSpaceDE w:val="0"/>
        <w:autoSpaceDN w:val="0"/>
        <w:spacing w:line="500" w:lineRule="exact"/>
        <w:ind w:left="240" w:leftChars="100" w:firstLine="960" w:firstLineChars="400"/>
        <w:rPr>
          <w:rFonts w:hint="eastAsia" w:ascii="仿宋" w:hAnsi="仿宋" w:eastAsia="仿宋" w:cs="仿宋"/>
          <w:color w:val="auto"/>
          <w:szCs w:val="24"/>
          <w:highlight w:val="none"/>
        </w:rPr>
      </w:pPr>
      <w:r>
        <w:rPr>
          <w:rFonts w:hint="eastAsia" w:ascii="仿宋" w:hAnsi="仿宋" w:eastAsia="仿宋" w:cs="仿宋"/>
          <w:color w:val="auto"/>
          <w:kern w:val="0"/>
          <w:szCs w:val="24"/>
          <w:highlight w:val="none"/>
          <w:lang w:val="en-US" w:eastAsia="zh-CN"/>
        </w:rPr>
        <w:t>13</w:t>
      </w:r>
      <w:r>
        <w:rPr>
          <w:rFonts w:hint="eastAsia" w:ascii="仿宋" w:hAnsi="仿宋" w:eastAsia="仿宋" w:cs="仿宋"/>
          <w:color w:val="auto"/>
          <w:kern w:val="0"/>
          <w:szCs w:val="24"/>
          <w:highlight w:val="none"/>
        </w:rPr>
        <w:t>.《残疾人福利性单位声明函》</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Start w:id="100" w:name="_Toc1386"/>
      <w:bookmarkStart w:id="101" w:name="_Toc25120"/>
      <w:bookmarkStart w:id="102" w:name="_Toc458617471"/>
      <w:bookmarkStart w:id="103" w:name="_Toc193126882"/>
      <w:bookmarkStart w:id="104" w:name="_Toc194663919"/>
      <w:bookmarkStart w:id="105" w:name="_Toc193187098"/>
      <w:bookmarkStart w:id="106" w:name="_Toc188808834"/>
      <w:r>
        <w:rPr>
          <w:rFonts w:hint="eastAsia" w:ascii="仿宋" w:hAnsi="仿宋" w:eastAsia="仿宋" w:cs="仿宋"/>
          <w:color w:val="auto"/>
          <w:szCs w:val="24"/>
          <w:highlight w:val="none"/>
        </w:rPr>
        <w:t>（格式，若有）</w:t>
      </w:r>
    </w:p>
    <w:p>
      <w:pPr>
        <w:autoSpaceDE w:val="0"/>
        <w:autoSpaceDN w:val="0"/>
        <w:spacing w:line="500" w:lineRule="exact"/>
        <w:ind w:left="240" w:leftChars="100" w:firstLine="960" w:firstLineChars="400"/>
        <w:rPr>
          <w:rFonts w:hint="eastAsia" w:ascii="仿宋" w:hAnsi="仿宋" w:eastAsia="仿宋" w:cs="仿宋"/>
          <w:color w:val="auto"/>
          <w:kern w:val="0"/>
          <w:szCs w:val="24"/>
          <w:highlight w:val="none"/>
          <w:lang w:val="en-US" w:eastAsia="zh-CN"/>
        </w:rPr>
      </w:pPr>
      <w:r>
        <w:rPr>
          <w:rFonts w:hint="eastAsia" w:ascii="仿宋" w:hAnsi="仿宋" w:eastAsia="仿宋" w:cs="仿宋"/>
          <w:color w:val="auto"/>
          <w:kern w:val="0"/>
          <w:szCs w:val="24"/>
          <w:highlight w:val="none"/>
          <w:lang w:val="en-US" w:eastAsia="zh-CN"/>
        </w:rPr>
        <w:t>14.《监狱、戒毒企业声明函》（格式，若有）</w:t>
      </w:r>
    </w:p>
    <w:p>
      <w:pPr>
        <w:autoSpaceDE w:val="0"/>
        <w:autoSpaceDN w:val="0"/>
        <w:spacing w:line="500" w:lineRule="exact"/>
        <w:ind w:left="240" w:leftChars="100" w:firstLine="960" w:firstLineChars="400"/>
        <w:rPr>
          <w:rFonts w:hint="default" w:ascii="仿宋" w:hAnsi="仿宋" w:eastAsia="仿宋" w:cs="仿宋"/>
          <w:color w:val="auto"/>
          <w:kern w:val="0"/>
          <w:szCs w:val="24"/>
          <w:highlight w:val="none"/>
          <w:lang w:val="en-US" w:eastAsia="zh-CN"/>
        </w:rPr>
      </w:pPr>
    </w:p>
    <w:p>
      <w:pPr>
        <w:pStyle w:val="2"/>
        <w:rPr>
          <w:rFonts w:hint="eastAsia" w:ascii="仿宋" w:hAnsi="仿宋" w:eastAsia="仿宋" w:cs="仿宋"/>
          <w:color w:val="auto"/>
          <w:highlight w:val="none"/>
        </w:rPr>
      </w:pPr>
      <w:r>
        <w:rPr>
          <w:rFonts w:hint="eastAsia" w:ascii="仿宋" w:hAnsi="仿宋" w:eastAsia="仿宋" w:cs="仿宋"/>
          <w:color w:val="auto"/>
          <w:highlight w:val="none"/>
        </w:rPr>
        <w:br w:type="page"/>
      </w:r>
    </w:p>
    <w:p>
      <w:pPr>
        <w:pStyle w:val="36"/>
        <w:spacing w:line="560" w:lineRule="exact"/>
        <w:ind w:firstLine="0" w:firstLineChars="0"/>
        <w:rPr>
          <w:rFonts w:hint="eastAsia" w:ascii="仿宋" w:hAnsi="仿宋" w:eastAsia="仿宋" w:cs="仿宋"/>
          <w:b/>
          <w:color w:val="auto"/>
          <w:highlight w:val="none"/>
        </w:rPr>
      </w:pPr>
      <w:r>
        <w:rPr>
          <w:rFonts w:hint="eastAsia" w:ascii="仿宋" w:hAnsi="仿宋" w:eastAsia="仿宋" w:cs="仿宋"/>
          <w:b/>
          <w:color w:val="auto"/>
          <w:highlight w:val="none"/>
        </w:rPr>
        <w:t>1.投标函</w:t>
      </w:r>
      <w:bookmarkEnd w:id="100"/>
      <w:bookmarkEnd w:id="101"/>
      <w:bookmarkEnd w:id="102"/>
      <w:r>
        <w:rPr>
          <w:rFonts w:hint="eastAsia" w:ascii="仿宋" w:hAnsi="仿宋" w:eastAsia="仿宋" w:cs="仿宋"/>
          <w:bCs/>
          <w:color w:val="auto"/>
          <w:sz w:val="22"/>
          <w:szCs w:val="20"/>
          <w:highlight w:val="none"/>
        </w:rPr>
        <w:t>（格式）</w:t>
      </w:r>
    </w:p>
    <w:p>
      <w:pPr>
        <w:spacing w:line="560" w:lineRule="exact"/>
        <w:ind w:left="240" w:leftChars="100"/>
        <w:rPr>
          <w:rFonts w:hint="eastAsia" w:ascii="仿宋" w:hAnsi="仿宋" w:eastAsia="仿宋" w:cs="仿宋"/>
          <w:color w:val="auto"/>
          <w:szCs w:val="21"/>
          <w:highlight w:val="none"/>
        </w:rPr>
      </w:pPr>
    </w:p>
    <w:p>
      <w:pPr>
        <w:spacing w:line="560" w:lineRule="exact"/>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致：</w:t>
      </w:r>
      <w:r>
        <w:rPr>
          <w:rFonts w:hint="eastAsia" w:ascii="仿宋" w:hAnsi="仿宋" w:eastAsia="仿宋" w:cs="仿宋"/>
          <w:b/>
          <w:color w:val="auto"/>
          <w:szCs w:val="24"/>
          <w:highlight w:val="none"/>
          <w:lang w:eastAsia="zh-CN"/>
        </w:rPr>
        <w:t>卓安项目管理有限公司</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rPr>
        <w:t>根据贵单位</w:t>
      </w:r>
      <w:r>
        <w:rPr>
          <w:rFonts w:hint="eastAsia" w:ascii="仿宋" w:hAnsi="仿宋" w:eastAsia="仿宋" w:cs="仿宋"/>
          <w:color w:val="auto"/>
          <w:szCs w:val="24"/>
          <w:highlight w:val="none"/>
          <w:u w:val="single"/>
        </w:rPr>
        <w:t xml:space="preserve">         （招标项目名称）    </w:t>
      </w:r>
      <w:r>
        <w:rPr>
          <w:rFonts w:hint="eastAsia" w:ascii="仿宋" w:hAnsi="仿宋" w:eastAsia="仿宋" w:cs="仿宋"/>
          <w:color w:val="auto"/>
          <w:szCs w:val="24"/>
          <w:highlight w:val="none"/>
        </w:rPr>
        <w:t>项目</w:t>
      </w:r>
      <w:r>
        <w:rPr>
          <w:rFonts w:hint="eastAsia" w:ascii="仿宋" w:hAnsi="仿宋" w:eastAsia="仿宋" w:cs="仿宋"/>
          <w:color w:val="auto"/>
          <w:szCs w:val="24"/>
          <w:highlight w:val="none"/>
          <w:u w:val="single"/>
        </w:rPr>
        <w:t>（项目编号）</w:t>
      </w:r>
      <w:r>
        <w:rPr>
          <w:rFonts w:hint="eastAsia" w:ascii="仿宋" w:hAnsi="仿宋" w:eastAsia="仿宋" w:cs="仿宋"/>
          <w:color w:val="auto"/>
          <w:szCs w:val="24"/>
          <w:highlight w:val="none"/>
        </w:rPr>
        <w:t>的招标公告，我方代表</w:t>
      </w:r>
      <w:r>
        <w:rPr>
          <w:rFonts w:hint="eastAsia" w:ascii="仿宋" w:hAnsi="仿宋" w:eastAsia="仿宋" w:cs="仿宋"/>
          <w:color w:val="auto"/>
          <w:szCs w:val="24"/>
          <w:highlight w:val="none"/>
          <w:u w:val="single"/>
        </w:rPr>
        <w:t xml:space="preserve">   （姓名、职务）   </w:t>
      </w:r>
      <w:r>
        <w:rPr>
          <w:rFonts w:hint="eastAsia" w:ascii="仿宋" w:hAnsi="仿宋" w:eastAsia="仿宋" w:cs="仿宋"/>
          <w:color w:val="auto"/>
          <w:szCs w:val="24"/>
          <w:highlight w:val="none"/>
        </w:rPr>
        <w:t>经正式授权并代表</w:t>
      </w:r>
      <w:r>
        <w:rPr>
          <w:rFonts w:hint="eastAsia" w:ascii="仿宋" w:hAnsi="仿宋" w:eastAsia="仿宋" w:cs="仿宋"/>
          <w:color w:val="auto"/>
          <w:szCs w:val="24"/>
          <w:highlight w:val="none"/>
          <w:u w:val="single"/>
        </w:rPr>
        <w:t xml:space="preserve">     （投标人名称）     </w:t>
      </w:r>
      <w:r>
        <w:rPr>
          <w:rFonts w:hint="eastAsia" w:ascii="仿宋" w:hAnsi="仿宋" w:eastAsia="仿宋" w:cs="仿宋"/>
          <w:color w:val="auto"/>
          <w:szCs w:val="24"/>
          <w:highlight w:val="none"/>
        </w:rPr>
        <w:t>就该项目进行投标。</w:t>
      </w:r>
    </w:p>
    <w:p>
      <w:pPr>
        <w:spacing w:line="560" w:lineRule="exact"/>
        <w:ind w:firstLine="472" w:firstLineChars="196"/>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在此，我方郑重声明以下诸点，并负法律责任：</w:t>
      </w:r>
    </w:p>
    <w:p>
      <w:pPr>
        <w:spacing w:line="560" w:lineRule="exact"/>
        <w:ind w:firstLine="470" w:firstLineChars="196"/>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en-US" w:eastAsia="zh-CN"/>
        </w:rPr>
        <w:t>1</w:t>
      </w:r>
      <w:r>
        <w:rPr>
          <w:rFonts w:hint="eastAsia" w:ascii="仿宋" w:hAnsi="仿宋" w:eastAsia="仿宋" w:cs="仿宋"/>
          <w:color w:val="auto"/>
          <w:szCs w:val="24"/>
          <w:highlight w:val="none"/>
        </w:rPr>
        <w:t>、我方所附投标报价表中应提交和交付的服务投标总价为人民币：</w:t>
      </w:r>
      <w:r>
        <w:rPr>
          <w:rFonts w:hint="eastAsia" w:ascii="仿宋" w:hAnsi="仿宋" w:eastAsia="仿宋" w:cs="仿宋"/>
          <w:color w:val="auto"/>
          <w:szCs w:val="24"/>
          <w:highlight w:val="none"/>
          <w:u w:val="single"/>
        </w:rPr>
        <w:t>（同时用汉字大写和数字表示的投标总价）</w:t>
      </w:r>
      <w:r>
        <w:rPr>
          <w:rFonts w:hint="eastAsia" w:ascii="仿宋" w:hAnsi="仿宋" w:eastAsia="仿宋" w:cs="仿宋"/>
          <w:color w:val="auto"/>
          <w:szCs w:val="24"/>
          <w:highlight w:val="none"/>
        </w:rPr>
        <w:t>。该报价一次报死，不受市场因素的影响。</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2</w:t>
      </w:r>
      <w:r>
        <w:rPr>
          <w:rFonts w:hint="eastAsia" w:ascii="仿宋" w:hAnsi="仿宋" w:eastAsia="仿宋" w:cs="仿宋"/>
          <w:color w:val="auto"/>
          <w:szCs w:val="24"/>
          <w:highlight w:val="none"/>
        </w:rPr>
        <w:t>、我方已详细审查全部招标文件，完全理解并同意放弃对这方面有不明及误解质疑的权力。</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3</w:t>
      </w:r>
      <w:r>
        <w:rPr>
          <w:rFonts w:hint="eastAsia" w:ascii="仿宋" w:hAnsi="仿宋" w:eastAsia="仿宋" w:cs="仿宋"/>
          <w:color w:val="auto"/>
          <w:szCs w:val="24"/>
          <w:highlight w:val="none"/>
        </w:rPr>
        <w:t>、我方同意按照要求提供投标有关的一切数据或资料。</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4</w:t>
      </w:r>
      <w:r>
        <w:rPr>
          <w:rFonts w:hint="eastAsia" w:ascii="仿宋" w:hAnsi="仿宋" w:eastAsia="仿宋" w:cs="仿宋"/>
          <w:color w:val="auto"/>
          <w:szCs w:val="24"/>
          <w:highlight w:val="none"/>
        </w:rPr>
        <w:t>、我方将按招标文件的规定履行合同责任和义务。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5</w:t>
      </w:r>
      <w:r>
        <w:rPr>
          <w:rFonts w:hint="eastAsia" w:ascii="仿宋" w:hAnsi="仿宋" w:eastAsia="仿宋" w:cs="仿宋"/>
          <w:color w:val="auto"/>
          <w:szCs w:val="24"/>
          <w:highlight w:val="none"/>
        </w:rPr>
        <w:t>、我方完全理解最低报价不是中标的唯一条件，采购人有权选择质优价廉的服务。</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6</w:t>
      </w:r>
      <w:r>
        <w:rPr>
          <w:rFonts w:hint="eastAsia" w:ascii="仿宋" w:hAnsi="仿宋" w:eastAsia="仿宋" w:cs="仿宋"/>
          <w:color w:val="auto"/>
          <w:szCs w:val="24"/>
          <w:highlight w:val="none"/>
        </w:rPr>
        <w:t>、我方同意按招标文件规定，遵守贵方有关招标的各项规定。</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7</w:t>
      </w:r>
      <w:r>
        <w:rPr>
          <w:rFonts w:hint="eastAsia" w:ascii="仿宋" w:hAnsi="仿宋" w:eastAsia="仿宋" w:cs="仿宋"/>
          <w:color w:val="auto"/>
          <w:szCs w:val="24"/>
          <w:highlight w:val="none"/>
        </w:rPr>
        <w:t>、若我方中标，我方保证按有关规定向贵方支付招标服务费。</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8</w:t>
      </w:r>
      <w:r>
        <w:rPr>
          <w:rFonts w:hint="eastAsia" w:ascii="仿宋" w:hAnsi="仿宋" w:eastAsia="仿宋" w:cs="仿宋"/>
          <w:color w:val="auto"/>
          <w:szCs w:val="24"/>
          <w:highlight w:val="none"/>
        </w:rPr>
        <w:t>、投标有效期为自提交投标文件的截止之日起90个日历日。</w:t>
      </w:r>
    </w:p>
    <w:p>
      <w:pPr>
        <w:spacing w:line="560" w:lineRule="exact"/>
        <w:ind w:firstLine="470" w:firstLineChars="196"/>
        <w:rPr>
          <w:rFonts w:hint="eastAsia" w:ascii="仿宋" w:hAnsi="仿宋" w:eastAsia="仿宋" w:cs="仿宋"/>
          <w:b/>
          <w:color w:val="auto"/>
          <w:szCs w:val="24"/>
          <w:highlight w:val="none"/>
        </w:rPr>
      </w:pPr>
      <w:r>
        <w:rPr>
          <w:rFonts w:hint="eastAsia" w:ascii="仿宋" w:hAnsi="仿宋" w:eastAsia="仿宋" w:cs="仿宋"/>
          <w:color w:val="auto"/>
          <w:szCs w:val="24"/>
          <w:highlight w:val="none"/>
          <w:lang w:val="en-US" w:eastAsia="zh-CN"/>
        </w:rPr>
        <w:t>9</w:t>
      </w:r>
      <w:r>
        <w:rPr>
          <w:rFonts w:hint="eastAsia" w:ascii="仿宋" w:hAnsi="仿宋" w:eastAsia="仿宋" w:cs="仿宋"/>
          <w:color w:val="auto"/>
          <w:szCs w:val="24"/>
          <w:highlight w:val="none"/>
        </w:rPr>
        <w:t>、所有关于本项目的函电，请按下列地址联系：</w:t>
      </w:r>
    </w:p>
    <w:p>
      <w:pPr>
        <w:spacing w:line="560" w:lineRule="exact"/>
        <w:ind w:firstLine="480" w:firstLineChars="200"/>
        <w:rPr>
          <w:rFonts w:hint="eastAsia" w:ascii="仿宋" w:hAnsi="仿宋" w:eastAsia="仿宋" w:cs="仿宋"/>
          <w:color w:val="auto"/>
          <w:szCs w:val="24"/>
          <w:highlight w:val="none"/>
        </w:rPr>
      </w:pPr>
    </w:p>
    <w:p>
      <w:pPr>
        <w:spacing w:line="560" w:lineRule="exact"/>
        <w:ind w:firstLine="480" w:firstLineChars="200"/>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rPr>
          <w:rFonts w:hint="eastAsia"/>
          <w:color w:val="auto"/>
          <w:highlight w:val="none"/>
        </w:rPr>
      </w:pPr>
      <w:r>
        <w:rPr>
          <w:rFonts w:hint="eastAsia"/>
          <w:color w:val="auto"/>
          <w:highlight w:val="none"/>
        </w:rPr>
        <w:br w:type="page"/>
      </w:r>
    </w:p>
    <w:p>
      <w:pPr>
        <w:rPr>
          <w:rFonts w:hint="eastAsia"/>
          <w:color w:val="auto"/>
          <w:highlight w:val="none"/>
        </w:rPr>
      </w:pP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投标人名称（公章）：</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详 细 地 址：</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邮 政 编 码：</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电       话：</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传       真：</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电 子 邮 件：</w:t>
      </w:r>
      <w:r>
        <w:rPr>
          <w:rFonts w:hint="eastAsia" w:ascii="仿宋" w:hAnsi="仿宋" w:eastAsia="仿宋" w:cs="仿宋"/>
          <w:color w:val="auto"/>
          <w:szCs w:val="24"/>
          <w:highlight w:val="none"/>
          <w:u w:val="single"/>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开 户 银 行：</w:t>
      </w:r>
      <w:r>
        <w:rPr>
          <w:rFonts w:hint="eastAsia" w:ascii="仿宋" w:hAnsi="仿宋" w:eastAsia="仿宋" w:cs="仿宋"/>
          <w:color w:val="auto"/>
          <w:szCs w:val="24"/>
          <w:highlight w:val="none"/>
          <w:u w:val="single"/>
          <w:lang w:val="zh-CN"/>
        </w:rPr>
        <w:t xml:space="preserve">                   </w:t>
      </w:r>
    </w:p>
    <w:p>
      <w:pPr>
        <w:spacing w:line="560" w:lineRule="exact"/>
        <w:ind w:firstLine="480" w:firstLineChars="20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lang w:val="zh-CN"/>
        </w:rPr>
        <w:t>帐       号：</w:t>
      </w:r>
      <w:r>
        <w:rPr>
          <w:rFonts w:hint="eastAsia" w:ascii="仿宋" w:hAnsi="仿宋" w:eastAsia="仿宋" w:cs="仿宋"/>
          <w:color w:val="auto"/>
          <w:szCs w:val="24"/>
          <w:highlight w:val="none"/>
          <w:u w:val="singl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r>
        <w:rPr>
          <w:rFonts w:hint="eastAsia" w:ascii="仿宋" w:hAnsi="仿宋" w:eastAsia="仿宋" w:cs="仿宋"/>
          <w:color w:val="auto"/>
          <w:szCs w:val="24"/>
          <w:highlight w:val="none"/>
          <w:lang w:val="zh-CN"/>
        </w:rPr>
        <w:t xml:space="preserve">             </w:t>
      </w: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ind w:left="840" w:leftChars="100" w:hanging="600"/>
        <w:rPr>
          <w:rFonts w:hint="eastAsia" w:ascii="仿宋" w:hAnsi="仿宋" w:eastAsia="仿宋" w:cs="仿宋"/>
          <w:color w:val="auto"/>
          <w:szCs w:val="24"/>
          <w:highlight w:val="none"/>
          <w:lang w:val="zh-CN"/>
        </w:rPr>
      </w:pPr>
    </w:p>
    <w:p>
      <w:pPr>
        <w:autoSpaceDE w:val="0"/>
        <w:autoSpaceDN w:val="0"/>
        <w:adjustRightInd w:val="0"/>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u w:val="single"/>
        </w:rPr>
        <w:t xml:space="preserve">               </w:t>
      </w:r>
    </w:p>
    <w:p>
      <w:pPr>
        <w:autoSpaceDE w:val="0"/>
        <w:autoSpaceDN w:val="0"/>
        <w:adjustRightInd w:val="0"/>
        <w:spacing w:line="560" w:lineRule="exact"/>
        <w:ind w:left="240" w:leftChars="100" w:firstLine="3960" w:firstLineChars="1650"/>
        <w:rPr>
          <w:rFonts w:hint="eastAsia" w:ascii="仿宋" w:hAnsi="仿宋" w:eastAsia="仿宋" w:cs="仿宋"/>
          <w:color w:val="auto"/>
          <w:szCs w:val="24"/>
          <w:highlight w:val="none"/>
          <w:u w:val="single"/>
          <w:lang w:val="zh-CN"/>
        </w:rPr>
      </w:pPr>
      <w:r>
        <w:rPr>
          <w:rFonts w:hint="eastAsia" w:ascii="仿宋" w:hAnsi="仿宋" w:eastAsia="仿宋" w:cs="仿宋"/>
          <w:color w:val="auto"/>
          <w:szCs w:val="24"/>
          <w:highlight w:val="none"/>
          <w:lang w:val="zh-CN"/>
        </w:rPr>
        <w:t>联系电话/手机：</w:t>
      </w:r>
      <w:r>
        <w:rPr>
          <w:rFonts w:hint="eastAsia" w:ascii="仿宋" w:hAnsi="仿宋" w:eastAsia="仿宋" w:cs="仿宋"/>
          <w:color w:val="auto"/>
          <w:szCs w:val="24"/>
          <w:highlight w:val="none"/>
          <w:u w:val="single"/>
          <w:lang w:val="zh-CN"/>
        </w:rPr>
        <w:t xml:space="preserve">               </w:t>
      </w:r>
      <w:r>
        <w:rPr>
          <w:rFonts w:hint="eastAsia" w:ascii="仿宋" w:hAnsi="仿宋" w:eastAsia="仿宋" w:cs="仿宋"/>
          <w:color w:val="auto"/>
          <w:szCs w:val="24"/>
          <w:highlight w:val="none"/>
        </w:rPr>
        <w:t xml:space="preserve">  </w:t>
      </w:r>
    </w:p>
    <w:p>
      <w:pPr>
        <w:spacing w:line="560" w:lineRule="exact"/>
        <w:ind w:left="240" w:leftChars="100"/>
        <w:jc w:val="center"/>
        <w:rPr>
          <w:rFonts w:hint="eastAsia" w:ascii="仿宋" w:hAnsi="仿宋" w:eastAsia="仿宋" w:cs="仿宋"/>
          <w:color w:val="auto"/>
          <w:szCs w:val="24"/>
          <w:highlight w:val="none"/>
        </w:rPr>
        <w:sectPr>
          <w:pgSz w:w="11907" w:h="16840"/>
          <w:pgMar w:top="1417" w:right="1134" w:bottom="1417" w:left="1304" w:header="935" w:footer="771" w:gutter="567"/>
          <w:cols w:space="0" w:num="1"/>
          <w:titlePg/>
          <w:docGrid w:linePitch="312" w:charSpace="0"/>
        </w:sect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年</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月</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日</w:t>
      </w:r>
    </w:p>
    <w:bookmarkEnd w:id="103"/>
    <w:bookmarkEnd w:id="104"/>
    <w:bookmarkEnd w:id="105"/>
    <w:bookmarkEnd w:id="106"/>
    <w:p>
      <w:pPr>
        <w:pStyle w:val="36"/>
        <w:spacing w:line="560" w:lineRule="exact"/>
        <w:ind w:firstLine="0" w:firstLineChars="0"/>
        <w:rPr>
          <w:rFonts w:hint="eastAsia" w:ascii="仿宋" w:hAnsi="仿宋" w:eastAsia="仿宋" w:cs="仿宋"/>
          <w:bCs/>
          <w:color w:val="auto"/>
          <w:sz w:val="24"/>
          <w:szCs w:val="21"/>
          <w:highlight w:val="none"/>
        </w:rPr>
      </w:pPr>
      <w:bookmarkStart w:id="107" w:name="_Toc6986"/>
      <w:bookmarkStart w:id="108" w:name="_Toc458617472"/>
      <w:bookmarkStart w:id="109" w:name="_Toc5497"/>
      <w:bookmarkStart w:id="110" w:name="_Toc193187105"/>
      <w:bookmarkStart w:id="111" w:name="_Toc188808840"/>
      <w:bookmarkStart w:id="112" w:name="_Toc193126889"/>
      <w:bookmarkStart w:id="113" w:name="_Toc194663926"/>
      <w:r>
        <w:rPr>
          <w:rFonts w:hint="eastAsia" w:ascii="仿宋" w:hAnsi="仿宋" w:eastAsia="仿宋" w:cs="仿宋"/>
          <w:b/>
          <w:color w:val="auto"/>
          <w:highlight w:val="none"/>
        </w:rPr>
        <w:t>2.开标一览表</w:t>
      </w:r>
      <w:bookmarkEnd w:id="107"/>
      <w:bookmarkEnd w:id="108"/>
      <w:bookmarkEnd w:id="109"/>
      <w:r>
        <w:rPr>
          <w:rFonts w:hint="eastAsia" w:ascii="仿宋" w:hAnsi="仿宋" w:eastAsia="仿宋" w:cs="仿宋"/>
          <w:bCs/>
          <w:color w:val="auto"/>
          <w:sz w:val="24"/>
          <w:szCs w:val="21"/>
          <w:highlight w:val="none"/>
        </w:rPr>
        <w:t>（格式）</w:t>
      </w:r>
    </w:p>
    <w:p>
      <w:pPr>
        <w:spacing w:line="560" w:lineRule="exact"/>
        <w:ind w:left="240" w:leftChars="100"/>
        <w:jc w:val="center"/>
        <w:rPr>
          <w:rFonts w:hint="eastAsia" w:ascii="仿宋" w:hAnsi="仿宋" w:eastAsia="仿宋" w:cs="仿宋"/>
          <w:b/>
          <w:bCs/>
          <w:color w:val="auto"/>
          <w:sz w:val="36"/>
          <w:szCs w:val="21"/>
          <w:highlight w:val="none"/>
        </w:rPr>
      </w:pPr>
    </w:p>
    <w:p>
      <w:pPr>
        <w:spacing w:line="560" w:lineRule="exact"/>
        <w:rPr>
          <w:rFonts w:hint="eastAsia" w:ascii="仿宋" w:hAnsi="仿宋" w:eastAsia="仿宋" w:cs="仿宋"/>
          <w:b/>
          <w:bCs/>
          <w:color w:val="auto"/>
          <w:sz w:val="36"/>
          <w:szCs w:val="21"/>
          <w:highlight w:val="none"/>
        </w:rPr>
      </w:pPr>
    </w:p>
    <w:p>
      <w:pPr>
        <w:spacing w:line="560" w:lineRule="exact"/>
        <w:ind w:firstLine="120" w:firstLineChars="50"/>
        <w:rPr>
          <w:rFonts w:hint="eastAsia" w:ascii="仿宋" w:hAnsi="仿宋" w:eastAsia="仿宋" w:cs="仿宋"/>
          <w:bCs/>
          <w:color w:val="auto"/>
          <w:kern w:val="0"/>
          <w:szCs w:val="24"/>
          <w:highlight w:val="none"/>
          <w:u w:val="single"/>
        </w:rPr>
      </w:pPr>
      <w:r>
        <w:rPr>
          <w:rFonts w:hint="eastAsia" w:ascii="仿宋" w:hAnsi="仿宋" w:eastAsia="仿宋" w:cs="仿宋"/>
          <w:bCs/>
          <w:color w:val="auto"/>
          <w:kern w:val="0"/>
          <w:szCs w:val="24"/>
          <w:highlight w:val="none"/>
        </w:rPr>
        <w:t>投标人名称：</w:t>
      </w:r>
      <w:r>
        <w:rPr>
          <w:rFonts w:hint="eastAsia" w:ascii="仿宋" w:hAnsi="仿宋" w:eastAsia="仿宋" w:cs="仿宋"/>
          <w:bCs/>
          <w:color w:val="auto"/>
          <w:kern w:val="0"/>
          <w:szCs w:val="24"/>
          <w:highlight w:val="none"/>
          <w:u w:val="single"/>
        </w:rPr>
        <w:t xml:space="preserve">                    </w:t>
      </w:r>
      <w:r>
        <w:rPr>
          <w:rFonts w:hint="eastAsia" w:ascii="仿宋" w:hAnsi="仿宋" w:eastAsia="仿宋" w:cs="仿宋"/>
          <w:bCs/>
          <w:color w:val="auto"/>
          <w:kern w:val="0"/>
          <w:szCs w:val="24"/>
          <w:highlight w:val="none"/>
        </w:rPr>
        <w:t xml:space="preserve">                                                   </w:t>
      </w:r>
    </w:p>
    <w:tbl>
      <w:tblPr>
        <w:tblStyle w:val="22"/>
        <w:tblW w:w="14367"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0" w:type="dxa"/>
          <w:bottom w:w="0" w:type="dxa"/>
          <w:right w:w="0" w:type="dxa"/>
        </w:tblCellMar>
      </w:tblPr>
      <w:tblGrid>
        <w:gridCol w:w="1524"/>
        <w:gridCol w:w="5462"/>
        <w:gridCol w:w="738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Align w:val="center"/>
          </w:tcPr>
          <w:p>
            <w:pPr>
              <w:spacing w:line="560" w:lineRule="exact"/>
              <w:ind w:right="163" w:rightChars="68" w:firstLine="118" w:firstLineChars="4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项目编号</w:t>
            </w:r>
          </w:p>
        </w:tc>
        <w:tc>
          <w:tcPr>
            <w:tcW w:w="5462" w:type="dxa"/>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投标总价</w:t>
            </w:r>
          </w:p>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（人民币:元）</w:t>
            </w:r>
          </w:p>
        </w:tc>
        <w:tc>
          <w:tcPr>
            <w:tcW w:w="7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lang w:val="en-US" w:eastAsia="zh-CN"/>
              </w:rPr>
              <w:t>服务期限</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restart"/>
            <w:vAlign w:val="center"/>
          </w:tcPr>
          <w:p>
            <w:pPr>
              <w:spacing w:line="560" w:lineRule="exact"/>
              <w:ind w:left="240" w:leftChars="100"/>
              <w:jc w:val="center"/>
              <w:rPr>
                <w:rFonts w:hint="eastAsia" w:ascii="仿宋" w:hAnsi="仿宋" w:eastAsia="仿宋" w:cs="仿宋"/>
                <w:color w:val="auto"/>
                <w:szCs w:val="24"/>
                <w:highlight w:val="none"/>
              </w:rPr>
            </w:pPr>
          </w:p>
        </w:tc>
        <w:tc>
          <w:tcPr>
            <w:tcW w:w="5462" w:type="dxa"/>
            <w:vAlign w:val="center"/>
          </w:tcPr>
          <w:p>
            <w:pPr>
              <w:spacing w:line="560" w:lineRule="exact"/>
              <w:ind w:left="240" w:leftChars="100"/>
              <w:jc w:val="center"/>
              <w:rPr>
                <w:rFonts w:hint="eastAsia" w:ascii="仿宋" w:hAnsi="仿宋" w:eastAsia="仿宋" w:cs="仿宋"/>
                <w:color w:val="auto"/>
                <w:szCs w:val="24"/>
                <w:highlight w:val="none"/>
              </w:rPr>
            </w:pPr>
          </w:p>
        </w:tc>
        <w:tc>
          <w:tcPr>
            <w:tcW w:w="7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0" w:type="dxa"/>
            <w:bottom w:w="0" w:type="dxa"/>
            <w:right w:w="0" w:type="dxa"/>
          </w:tblCellMar>
        </w:tblPrEx>
        <w:trPr>
          <w:trHeight w:val="567" w:hRule="atLeast"/>
          <w:jc w:val="center"/>
        </w:trPr>
        <w:tc>
          <w:tcPr>
            <w:tcW w:w="1524" w:type="dxa"/>
            <w:vMerge w:val="continue"/>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2843" w:type="dxa"/>
            <w:gridSpan w:val="2"/>
            <w:tcBorders>
              <w:top w:val="single" w:color="auto" w:sz="4" w:space="0"/>
            </w:tcBorders>
            <w:vAlign w:val="center"/>
          </w:tcPr>
          <w:p>
            <w:pPr>
              <w:spacing w:line="560" w:lineRule="exact"/>
              <w:ind w:left="240" w:leftChars="100"/>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（大写）                                </w:t>
            </w:r>
          </w:p>
        </w:tc>
      </w:tr>
    </w:tbl>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rPr>
      </w:pPr>
    </w:p>
    <w:p>
      <w:pPr>
        <w:spacing w:line="560" w:lineRule="exac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w:t>
      </w: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                       日 期：</w:t>
      </w:r>
      <w:r>
        <w:rPr>
          <w:rFonts w:hint="eastAsia" w:ascii="仿宋" w:hAnsi="仿宋" w:eastAsia="仿宋" w:cs="仿宋"/>
          <w:color w:val="auto"/>
          <w:szCs w:val="24"/>
          <w:highlight w:val="none"/>
          <w:u w:val="single"/>
        </w:rPr>
        <w:t xml:space="preserve">            </w:t>
      </w:r>
    </w:p>
    <w:p>
      <w:pPr>
        <w:spacing w:line="480" w:lineRule="exact"/>
        <w:rPr>
          <w:rFonts w:hint="eastAsia" w:ascii="仿宋" w:hAnsi="仿宋" w:eastAsia="仿宋" w:cs="仿宋"/>
          <w:b/>
          <w:bCs/>
          <w:color w:val="auto"/>
          <w:sz w:val="28"/>
          <w:szCs w:val="28"/>
          <w:highlight w:val="none"/>
          <w:lang w:eastAsia="zh-CN"/>
        </w:rPr>
      </w:pPr>
      <w:bookmarkStart w:id="114" w:name="_Toc167591496"/>
      <w:bookmarkStart w:id="115" w:name="_Toc154482483"/>
      <w:bookmarkStart w:id="116" w:name="_Toc169846877"/>
      <w:bookmarkStart w:id="117" w:name="_Toc169838536"/>
      <w:bookmarkStart w:id="118" w:name="_Toc175033596"/>
      <w:bookmarkStart w:id="119" w:name="_Toc175032441"/>
      <w:bookmarkStart w:id="120" w:name="_Toc169846780"/>
      <w:bookmarkStart w:id="121" w:name="_Toc167849364"/>
      <w:bookmarkStart w:id="122" w:name="_Toc167590779"/>
      <w:bookmarkStart w:id="123" w:name="_Toc458617473"/>
      <w:bookmarkStart w:id="124" w:name="_Toc173549982"/>
      <w:bookmarkStart w:id="125" w:name="_Toc167591047"/>
      <w:bookmarkStart w:id="126" w:name="_Toc194663922"/>
      <w:bookmarkStart w:id="127" w:name="_Toc193126885"/>
      <w:bookmarkStart w:id="128" w:name="_Toc167591148"/>
      <w:bookmarkStart w:id="129" w:name="_Toc170980556"/>
      <w:bookmarkStart w:id="130" w:name="_Toc188808836"/>
      <w:bookmarkStart w:id="131" w:name="_Toc167591334"/>
      <w:bookmarkStart w:id="132" w:name="_Toc193187101"/>
      <w:bookmarkStart w:id="133" w:name="_Toc9029"/>
      <w:bookmarkStart w:id="134" w:name="_Toc170980457"/>
      <w:bookmarkStart w:id="135" w:name="_Toc10249"/>
      <w:r>
        <w:rPr>
          <w:rFonts w:hint="eastAsia" w:ascii="仿宋" w:hAnsi="仿宋" w:eastAsia="仿宋" w:cs="仿宋"/>
          <w:b/>
          <w:color w:val="auto"/>
          <w:highlight w:val="none"/>
        </w:rPr>
        <w:br w:type="page"/>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Start w:id="136" w:name="_Toc194663923"/>
      <w:bookmarkStart w:id="137" w:name="_Toc188808837"/>
      <w:bookmarkStart w:id="138" w:name="_Toc193126886"/>
      <w:bookmarkStart w:id="139" w:name="_Toc193187102"/>
      <w:r>
        <w:rPr>
          <w:rFonts w:hint="eastAsia" w:ascii="仿宋" w:hAnsi="仿宋" w:eastAsia="仿宋" w:cs="仿宋"/>
          <w:b/>
          <w:bCs/>
          <w:color w:val="auto"/>
          <w:sz w:val="28"/>
          <w:szCs w:val="28"/>
          <w:highlight w:val="none"/>
        </w:rPr>
        <w:t xml:space="preserve">3. </w:t>
      </w:r>
      <w:r>
        <w:rPr>
          <w:rFonts w:hint="eastAsia" w:ascii="仿宋" w:hAnsi="仿宋" w:eastAsia="仿宋" w:cs="仿宋"/>
          <w:b/>
          <w:bCs/>
          <w:color w:val="auto"/>
          <w:sz w:val="28"/>
          <w:szCs w:val="28"/>
          <w:highlight w:val="none"/>
          <w:lang w:val="en-US" w:eastAsia="zh-CN"/>
        </w:rPr>
        <w:t>投标分项报价</w:t>
      </w:r>
    </w:p>
    <w:tbl>
      <w:tblPr>
        <w:tblStyle w:val="23"/>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3100"/>
        <w:gridCol w:w="2031"/>
        <w:gridCol w:w="2031"/>
        <w:gridCol w:w="2031"/>
        <w:gridCol w:w="2037"/>
        <w:gridCol w:w="20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序号</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名称</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单位</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工程量</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单价（人民币元）</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费用（人民币元）</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堤坡草皮养护</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315370</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p>
        </w:tc>
        <w:tc>
          <w:tcPr>
            <w:tcW w:w="714" w:type="pct"/>
            <w:vAlign w:val="center"/>
          </w:tcPr>
          <w:p>
            <w:pPr>
              <w:jc w:val="center"/>
              <w:rPr>
                <w:rFonts w:hint="eastAsia" w:ascii="仿宋" w:hAnsi="仿宋" w:eastAsia="仿宋" w:cs="仿宋"/>
                <w:color w:val="auto"/>
                <w:kern w:val="0"/>
                <w:highlight w:val="none"/>
                <w:vertAlign w:val="baseline"/>
                <w:lang w:val="en-US" w:eastAsia="zh-CN"/>
              </w:rPr>
            </w:pP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如果死亡，按2元/m</w:t>
            </w:r>
            <w:r>
              <w:rPr>
                <w:rFonts w:hint="eastAsia" w:ascii="仿宋" w:hAnsi="仿宋" w:eastAsia="仿宋" w:cs="仿宋"/>
                <w:color w:val="auto"/>
                <w:kern w:val="0"/>
                <w:highlight w:val="none"/>
                <w:vertAlign w:val="superscript"/>
                <w:lang w:val="en-US" w:eastAsia="zh-CN"/>
              </w:rPr>
              <w:t>2</w:t>
            </w:r>
            <w:r>
              <w:rPr>
                <w:rFonts w:hint="eastAsia" w:ascii="仿宋" w:hAnsi="仿宋" w:eastAsia="仿宋" w:cs="仿宋"/>
                <w:color w:val="auto"/>
                <w:kern w:val="0"/>
                <w:highlight w:val="none"/>
                <w:vertAlign w:val="baseline"/>
                <w:lang w:val="en-US" w:eastAsia="zh-CN"/>
              </w:rPr>
              <w:t>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2</w:t>
            </w:r>
          </w:p>
        </w:tc>
        <w:tc>
          <w:tcPr>
            <w:tcW w:w="1090"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堤</w:t>
            </w:r>
            <w:r>
              <w:rPr>
                <w:rFonts w:hint="eastAsia" w:ascii="仿宋" w:hAnsi="仿宋" w:eastAsia="仿宋" w:cs="仿宋"/>
                <w:color w:val="auto"/>
                <w:kern w:val="0"/>
                <w:highlight w:val="none"/>
                <w:vertAlign w:val="baseline"/>
                <w:lang w:val="en-US" w:eastAsia="zh-CN"/>
              </w:rPr>
              <w:t>顶</w:t>
            </w:r>
            <w:r>
              <w:rPr>
                <w:rFonts w:hint="eastAsia" w:ascii="仿宋" w:hAnsi="仿宋" w:eastAsia="仿宋" w:cs="仿宋"/>
                <w:color w:val="auto"/>
                <w:kern w:val="0"/>
                <w:highlight w:val="none"/>
                <w:vertAlign w:val="baseline"/>
              </w:rPr>
              <w:t>景观绿化养护</w:t>
            </w: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129486</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包含</w:t>
            </w:r>
            <w:r>
              <w:rPr>
                <w:rFonts w:hint="eastAsia" w:ascii="仿宋" w:hAnsi="仿宋" w:eastAsia="仿宋" w:cs="仿宋"/>
                <w:color w:val="auto"/>
                <w:kern w:val="0"/>
                <w:highlight w:val="none"/>
                <w:vertAlign w:val="baseline"/>
                <w:lang w:val="en-US" w:eastAsia="zh-CN"/>
              </w:rPr>
              <w:t>乔木养护约7945</w:t>
            </w:r>
            <w:r>
              <w:rPr>
                <w:rFonts w:hint="eastAsia" w:ascii="仿宋" w:hAnsi="仿宋" w:eastAsia="仿宋" w:cs="仿宋"/>
                <w:color w:val="auto"/>
                <w:kern w:val="0"/>
                <w:highlight w:val="none"/>
                <w:vertAlign w:val="baseline"/>
              </w:rPr>
              <w:t> (如</w:t>
            </w:r>
            <w:r>
              <w:rPr>
                <w:rFonts w:hint="eastAsia" w:ascii="仿宋" w:hAnsi="仿宋" w:eastAsia="仿宋" w:cs="仿宋"/>
                <w:color w:val="auto"/>
                <w:kern w:val="0"/>
                <w:highlight w:val="none"/>
                <w:vertAlign w:val="baseline"/>
              </w:rPr>
              <w:br w:type="textWrapping"/>
            </w:r>
            <w:r>
              <w:rPr>
                <w:rFonts w:hint="eastAsia" w:ascii="仿宋" w:hAnsi="仿宋" w:eastAsia="仿宋" w:cs="仿宋"/>
                <w:color w:val="auto"/>
                <w:kern w:val="0"/>
                <w:highlight w:val="none"/>
                <w:vertAlign w:val="baseline"/>
              </w:rPr>
              <w:t>果死亡，按100元/棵扣除费用)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防护林乔木养护</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棵</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47698</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rPr>
              <w:t>如果死亡，按</w:t>
            </w:r>
            <w:r>
              <w:rPr>
                <w:rFonts w:hint="eastAsia" w:ascii="仿宋" w:hAnsi="仿宋" w:eastAsia="仿宋" w:cs="仿宋"/>
                <w:color w:val="auto"/>
                <w:kern w:val="0"/>
                <w:highlight w:val="none"/>
                <w:vertAlign w:val="baseline"/>
                <w:lang w:val="en-US" w:eastAsia="zh-CN"/>
              </w:rPr>
              <w:t>2</w:t>
            </w:r>
            <w:r>
              <w:rPr>
                <w:rFonts w:hint="eastAsia" w:ascii="仿宋" w:hAnsi="仿宋" w:eastAsia="仿宋" w:cs="仿宋"/>
                <w:color w:val="auto"/>
                <w:kern w:val="0"/>
                <w:highlight w:val="none"/>
                <w:vertAlign w:val="baseline"/>
              </w:rPr>
              <w:t>00元/棵扣除费用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4</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防护林除草</w:t>
            </w:r>
          </w:p>
        </w:tc>
        <w:tc>
          <w:tcPr>
            <w:tcW w:w="714" w:type="pct"/>
            <w:vAlign w:val="center"/>
          </w:tcPr>
          <w:p>
            <w:pPr>
              <w:jc w:val="center"/>
              <w:rPr>
                <w:rFonts w:hint="eastAsia" w:ascii="仿宋" w:hAnsi="仿宋" w:eastAsia="仿宋" w:cs="仿宋"/>
                <w:color w:val="auto"/>
                <w:kern w:val="0"/>
                <w:highlight w:val="none"/>
                <w:vertAlign w:val="baseline"/>
              </w:rPr>
            </w:pPr>
            <w:r>
              <w:rPr>
                <w:rFonts w:hint="eastAsia" w:ascii="仿宋" w:hAnsi="仿宋" w:eastAsia="仿宋" w:cs="仿宋"/>
                <w:color w:val="auto"/>
                <w:kern w:val="0"/>
                <w:highlight w:val="none"/>
                <w:vertAlign w:val="baseline"/>
                <w:lang w:val="en-US" w:eastAsia="zh-CN"/>
              </w:rPr>
              <w:t>m</w:t>
            </w:r>
            <w:r>
              <w:rPr>
                <w:rFonts w:hint="eastAsia" w:ascii="仿宋" w:hAnsi="仿宋" w:eastAsia="仿宋" w:cs="仿宋"/>
                <w:color w:val="auto"/>
                <w:kern w:val="0"/>
                <w:highlight w:val="none"/>
                <w:vertAlign w:val="superscript"/>
                <w:lang w:val="en-US" w:eastAsia="zh-CN"/>
              </w:rPr>
              <w:t>2</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315798</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5</w:t>
            </w:r>
          </w:p>
        </w:tc>
        <w:tc>
          <w:tcPr>
            <w:tcW w:w="1090"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保洁</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10</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6</w:t>
            </w:r>
          </w:p>
        </w:tc>
        <w:tc>
          <w:tcPr>
            <w:tcW w:w="1090"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堤顶日常巡护</w:t>
            </w:r>
          </w:p>
        </w:tc>
        <w:tc>
          <w:tcPr>
            <w:tcW w:w="714" w:type="pct"/>
            <w:vAlign w:val="center"/>
          </w:tcPr>
          <w:p>
            <w:pPr>
              <w:jc w:val="center"/>
              <w:rPr>
                <w:rFonts w:hint="eastAsia"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个</w:t>
            </w:r>
          </w:p>
        </w:tc>
        <w:tc>
          <w:tcPr>
            <w:tcW w:w="714" w:type="pct"/>
            <w:vAlign w:val="center"/>
          </w:tcPr>
          <w:p>
            <w:pPr>
              <w:jc w:val="center"/>
              <w:rPr>
                <w:rFonts w:hint="default" w:ascii="仿宋" w:hAnsi="仿宋" w:eastAsia="仿宋" w:cs="仿宋"/>
                <w:color w:val="auto"/>
                <w:kern w:val="0"/>
                <w:highlight w:val="none"/>
                <w:vertAlign w:val="baseline"/>
                <w:lang w:val="en-US" w:eastAsia="zh-CN"/>
              </w:rPr>
            </w:pPr>
            <w:r>
              <w:rPr>
                <w:rFonts w:hint="eastAsia" w:ascii="仿宋" w:hAnsi="仿宋" w:eastAsia="仿宋" w:cs="仿宋"/>
                <w:color w:val="auto"/>
                <w:kern w:val="0"/>
                <w:highlight w:val="none"/>
                <w:vertAlign w:val="baseline"/>
                <w:lang w:val="en-US" w:eastAsia="zh-CN"/>
              </w:rPr>
              <w:t>10</w:t>
            </w: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c>
          <w:tcPr>
            <w:tcW w:w="714" w:type="pct"/>
            <w:vAlign w:val="center"/>
          </w:tcPr>
          <w:p>
            <w:pPr>
              <w:jc w:val="center"/>
              <w:rPr>
                <w:rFonts w:hint="eastAsia" w:ascii="仿宋" w:hAnsi="仿宋" w:eastAsia="仿宋" w:cs="仿宋"/>
                <w:color w:val="auto"/>
                <w:kern w:val="0"/>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7</w:t>
            </w:r>
          </w:p>
        </w:tc>
        <w:tc>
          <w:tcPr>
            <w:tcW w:w="1090"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堤顶道路交通工程及附属设施维护（暂列金）</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1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1570000.00</w:t>
            </w:r>
          </w:p>
        </w:tc>
        <w:tc>
          <w:tcPr>
            <w:tcW w:w="71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8</w:t>
            </w:r>
          </w:p>
        </w:tc>
        <w:tc>
          <w:tcPr>
            <w:tcW w:w="1090"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采购人项目管理费</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1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32000.00</w:t>
            </w:r>
          </w:p>
        </w:tc>
        <w:tc>
          <w:tcPr>
            <w:tcW w:w="714" w:type="pct"/>
            <w:vAlign w:val="center"/>
          </w:tcPr>
          <w:p>
            <w:pPr>
              <w:jc w:val="center"/>
              <w:rPr>
                <w:rFonts w:hint="default"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9</w:t>
            </w:r>
          </w:p>
        </w:tc>
        <w:tc>
          <w:tcPr>
            <w:tcW w:w="1090"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项目备用金（以上8项费用总和的5%）</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项</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 xml:space="preserve">1 </w:t>
            </w: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14"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jc w:val="center"/>
        </w:trPr>
        <w:tc>
          <w:tcPr>
            <w:tcW w:w="336"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highlight w:val="none"/>
                <w:vertAlign w:val="baseline"/>
                <w:lang w:val="en-US" w:eastAsia="zh-CN"/>
              </w:rPr>
              <w:t>10</w:t>
            </w:r>
          </w:p>
        </w:tc>
        <w:tc>
          <w:tcPr>
            <w:tcW w:w="1090" w:type="pct"/>
            <w:vAlign w:val="center"/>
          </w:tcPr>
          <w:p>
            <w:pPr>
              <w:jc w:val="center"/>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总计（人民币元）</w:t>
            </w:r>
          </w:p>
        </w:tc>
        <w:tc>
          <w:tcPr>
            <w:tcW w:w="2858" w:type="pct"/>
            <w:gridSpan w:val="4"/>
            <w:vAlign w:val="center"/>
          </w:tcPr>
          <w:p>
            <w:pPr>
              <w:jc w:val="center"/>
              <w:rPr>
                <w:rFonts w:hint="eastAsia" w:ascii="仿宋" w:hAnsi="仿宋" w:eastAsia="仿宋" w:cs="仿宋"/>
                <w:color w:val="auto"/>
                <w:kern w:val="0"/>
                <w:sz w:val="24"/>
                <w:szCs w:val="22"/>
                <w:highlight w:val="none"/>
                <w:vertAlign w:val="baseline"/>
                <w:lang w:val="en-US" w:eastAsia="zh-CN" w:bidi="ar-SA"/>
              </w:rPr>
            </w:pPr>
          </w:p>
        </w:tc>
        <w:tc>
          <w:tcPr>
            <w:tcW w:w="714" w:type="pct"/>
            <w:vAlign w:val="center"/>
          </w:tcPr>
          <w:p>
            <w:pPr>
              <w:jc w:val="both"/>
              <w:rPr>
                <w:rFonts w:hint="eastAsia" w:ascii="仿宋" w:hAnsi="仿宋" w:eastAsia="仿宋" w:cs="仿宋"/>
                <w:color w:val="auto"/>
                <w:kern w:val="0"/>
                <w:sz w:val="24"/>
                <w:szCs w:val="22"/>
                <w:highlight w:val="none"/>
                <w:vertAlign w:val="baseline"/>
                <w:lang w:val="en-US" w:eastAsia="zh-CN" w:bidi="ar-SA"/>
              </w:rPr>
            </w:pPr>
            <w:r>
              <w:rPr>
                <w:rFonts w:hint="eastAsia" w:ascii="仿宋" w:hAnsi="仿宋" w:eastAsia="仿宋" w:cs="仿宋"/>
                <w:color w:val="auto"/>
                <w:kern w:val="0"/>
                <w:sz w:val="24"/>
                <w:szCs w:val="22"/>
                <w:highlight w:val="none"/>
                <w:vertAlign w:val="baseline"/>
                <w:lang w:val="en-US" w:eastAsia="zh-CN" w:bidi="ar-SA"/>
              </w:rPr>
              <w:t>￥：</w:t>
            </w:r>
          </w:p>
        </w:tc>
      </w:tr>
    </w:tbl>
    <w:p>
      <w:pPr>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注：1、堤顶道路交通工程及附属设施维护费（暂列金）按当季度市场价计取；</w:t>
      </w:r>
    </w:p>
    <w:p>
      <w:pPr>
        <w:spacing w:line="480" w:lineRule="exact"/>
        <w:ind w:firstLine="482" w:firstLineChars="200"/>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2、项目备用金是含在投标报价中的一笔款项，属采购人所有，主要用于在合同期内无法预测而发生的费用，由采购人根据工作实际合理使用。</w:t>
      </w:r>
    </w:p>
    <w:p>
      <w:pPr>
        <w:spacing w:line="480" w:lineRule="exact"/>
        <w:ind w:firstLine="482" w:firstLineChars="200"/>
        <w:rPr>
          <w:rFonts w:hint="eastAsia" w:ascii="仿宋" w:hAnsi="仿宋" w:eastAsia="仿宋" w:cs="仿宋"/>
          <w:b/>
          <w:bCs/>
          <w:color w:val="auto"/>
          <w:kern w:val="0"/>
          <w:highlight w:val="none"/>
          <w:lang w:val="en-US" w:eastAsia="zh-CN"/>
        </w:rPr>
      </w:pPr>
      <w:r>
        <w:rPr>
          <w:rFonts w:hint="eastAsia" w:ascii="仿宋" w:hAnsi="仿宋" w:eastAsia="仿宋" w:cs="仿宋"/>
          <w:b/>
          <w:bCs/>
          <w:color w:val="auto"/>
          <w:kern w:val="0"/>
          <w:highlight w:val="none"/>
          <w:lang w:val="en-US" w:eastAsia="zh-CN"/>
        </w:rPr>
        <w:t>3、采购人项目管理费及堤顶道路交通工程及附属设施维护费包含在投标报价中，这两项内容不得修改、不得漏项，否则按无效报价处理。</w:t>
      </w:r>
    </w:p>
    <w:p>
      <w:pPr>
        <w:spacing w:line="480" w:lineRule="exact"/>
        <w:rPr>
          <w:rFonts w:hint="eastAsia" w:ascii="仿宋" w:hAnsi="仿宋" w:eastAsia="仿宋" w:cs="仿宋"/>
          <w:color w:val="auto"/>
          <w:szCs w:val="24"/>
          <w:highlight w:val="none"/>
        </w:rPr>
      </w:pPr>
    </w:p>
    <w:p>
      <w:pPr>
        <w:spacing w:line="480" w:lineRule="exact"/>
        <w:rPr>
          <w:rFonts w:hint="eastAsia" w:ascii="仿宋" w:hAnsi="仿宋" w:eastAsia="仿宋" w:cs="仿宋"/>
          <w:color w:val="auto"/>
          <w:szCs w:val="24"/>
          <w:highlight w:val="none"/>
          <w:lang w:eastAsia="zh-CN"/>
        </w:rPr>
      </w:pPr>
    </w:p>
    <w:p>
      <w:pPr>
        <w:pStyle w:val="2"/>
        <w:rPr>
          <w:rFonts w:hint="eastAsia"/>
          <w:color w:val="auto"/>
          <w:highlight w:val="none"/>
          <w:lang w:eastAsia="zh-CN"/>
        </w:rPr>
      </w:pPr>
    </w:p>
    <w:p>
      <w:pPr>
        <w:spacing w:line="48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 xml:space="preserve">：                  （投标人单位公章）                     日 期：            </w:t>
      </w:r>
    </w:p>
    <w:p>
      <w:pPr>
        <w:spacing w:line="480" w:lineRule="exact"/>
        <w:ind w:left="240" w:leftChars="100"/>
        <w:outlineLvl w:val="1"/>
        <w:rPr>
          <w:rFonts w:hint="eastAsia" w:ascii="楷体" w:hAnsi="楷体" w:eastAsia="楷体" w:cs="楷体"/>
          <w:i/>
          <w:iCs/>
          <w:color w:val="auto"/>
          <w:highlight w:val="none"/>
        </w:rPr>
        <w:sectPr>
          <w:headerReference r:id="rId15" w:type="first"/>
          <w:footerReference r:id="rId17" w:type="first"/>
          <w:headerReference r:id="rId14" w:type="default"/>
          <w:footerReference r:id="rId16" w:type="default"/>
          <w:pgSz w:w="16840" w:h="11905" w:orient="landscape"/>
          <w:pgMar w:top="1054" w:right="1417" w:bottom="1287" w:left="1417" w:header="935" w:footer="771" w:gutter="567"/>
          <w:cols w:space="720" w:num="1"/>
          <w:titlePg/>
          <w:rtlGutter w:val="0"/>
          <w:docGrid w:linePitch="312" w:charSpace="0"/>
        </w:sectPr>
      </w:pPr>
    </w:p>
    <w:bookmarkEnd w:id="136"/>
    <w:bookmarkEnd w:id="137"/>
    <w:bookmarkEnd w:id="138"/>
    <w:bookmarkEnd w:id="139"/>
    <w:p>
      <w:pPr>
        <w:pStyle w:val="36"/>
        <w:spacing w:line="560" w:lineRule="exact"/>
        <w:ind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4</w:t>
      </w:r>
      <w:r>
        <w:rPr>
          <w:rFonts w:hint="eastAsia" w:ascii="仿宋" w:hAnsi="仿宋" w:eastAsia="仿宋" w:cs="仿宋"/>
          <w:b/>
          <w:color w:val="auto"/>
          <w:highlight w:val="none"/>
        </w:rPr>
        <w:t>.</w:t>
      </w:r>
      <w:r>
        <w:rPr>
          <w:rFonts w:hint="eastAsia" w:ascii="仿宋" w:hAnsi="仿宋" w:eastAsia="仿宋" w:cs="仿宋"/>
          <w:b/>
          <w:color w:val="auto"/>
          <w:highlight w:val="none"/>
          <w:lang w:val="en-US" w:eastAsia="zh-CN"/>
        </w:rPr>
        <w:t>服务</w:t>
      </w:r>
      <w:r>
        <w:rPr>
          <w:rFonts w:hint="eastAsia" w:ascii="仿宋" w:hAnsi="仿宋" w:eastAsia="仿宋" w:cs="仿宋"/>
          <w:b/>
          <w:color w:val="auto"/>
          <w:highlight w:val="none"/>
        </w:rPr>
        <w:t>响应偏离表</w:t>
      </w:r>
      <w:r>
        <w:rPr>
          <w:rFonts w:hint="eastAsia" w:ascii="仿宋" w:hAnsi="仿宋" w:eastAsia="仿宋" w:cs="仿宋"/>
          <w:bCs/>
          <w:color w:val="auto"/>
          <w:sz w:val="24"/>
          <w:szCs w:val="21"/>
          <w:highlight w:val="none"/>
        </w:rPr>
        <w:t>（格式）</w:t>
      </w:r>
    </w:p>
    <w:p>
      <w:pPr>
        <w:spacing w:line="560" w:lineRule="exact"/>
        <w:jc w:val="left"/>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2"/>
        <w:tblpPr w:leftFromText="180" w:rightFromText="180" w:vertAnchor="text" w:horzAnchor="margin" w:tblpY="162"/>
        <w:tblOverlap w:val="never"/>
        <w:tblW w:w="9108"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1"/>
        <w:gridCol w:w="1355"/>
        <w:gridCol w:w="2316"/>
        <w:gridCol w:w="2091"/>
        <w:gridCol w:w="1134"/>
        <w:gridCol w:w="1271"/>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46" w:leftChars="19"/>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序号</w:t>
            </w:r>
          </w:p>
        </w:tc>
        <w:tc>
          <w:tcPr>
            <w:tcW w:w="1355" w:type="dxa"/>
            <w:tcMar>
              <w:top w:w="57" w:type="dxa"/>
              <w:left w:w="28" w:type="dxa"/>
              <w:bottom w:w="57" w:type="dxa"/>
              <w:right w:w="28" w:type="dxa"/>
            </w:tcMar>
            <w:vAlign w:val="center"/>
          </w:tcPr>
          <w:p>
            <w:pPr>
              <w:spacing w:line="560" w:lineRule="exact"/>
              <w:ind w:left="46" w:leftChars="19"/>
              <w:jc w:val="center"/>
              <w:rPr>
                <w:rFonts w:hint="eastAsia" w:ascii="仿宋" w:hAnsi="仿宋" w:eastAsia="仿宋" w:cs="仿宋"/>
                <w:b/>
                <w:color w:val="auto"/>
                <w:szCs w:val="24"/>
                <w:highlight w:val="none"/>
                <w:lang w:eastAsia="zh-CN"/>
              </w:rPr>
            </w:pPr>
            <w:r>
              <w:rPr>
                <w:rFonts w:hint="eastAsia" w:ascii="仿宋" w:hAnsi="仿宋" w:eastAsia="仿宋" w:cs="仿宋"/>
                <w:b/>
                <w:strike w:val="0"/>
                <w:dstrike w:val="0"/>
                <w:color w:val="auto"/>
                <w:szCs w:val="24"/>
                <w:highlight w:val="none"/>
                <w:lang w:val="en-US" w:eastAsia="zh-CN"/>
              </w:rPr>
              <w:t>服务</w:t>
            </w:r>
            <w:r>
              <w:rPr>
                <w:rFonts w:hint="eastAsia" w:ascii="仿宋" w:hAnsi="仿宋" w:eastAsia="仿宋" w:cs="仿宋"/>
                <w:b/>
                <w:strike w:val="0"/>
                <w:color w:val="auto"/>
                <w:szCs w:val="24"/>
                <w:highlight w:val="none"/>
                <w:lang w:val="en-US" w:eastAsia="zh-CN"/>
              </w:rPr>
              <w:t>内容</w:t>
            </w:r>
          </w:p>
        </w:tc>
        <w:tc>
          <w:tcPr>
            <w:tcW w:w="2316"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lang w:eastAsia="zh-CN"/>
              </w:rPr>
            </w:pPr>
            <w:r>
              <w:rPr>
                <w:rFonts w:hint="eastAsia" w:ascii="仿宋" w:hAnsi="仿宋" w:eastAsia="仿宋" w:cs="仿宋"/>
                <w:b/>
                <w:color w:val="auto"/>
                <w:szCs w:val="24"/>
                <w:highlight w:val="none"/>
              </w:rPr>
              <w:t>招标文件</w:t>
            </w:r>
            <w:r>
              <w:rPr>
                <w:rFonts w:hint="eastAsia" w:ascii="仿宋" w:hAnsi="仿宋" w:eastAsia="仿宋" w:cs="仿宋"/>
                <w:b/>
                <w:color w:val="auto"/>
                <w:szCs w:val="24"/>
                <w:highlight w:val="none"/>
                <w:lang w:val="en-US" w:eastAsia="zh-CN"/>
              </w:rPr>
              <w:t>服务要求</w:t>
            </w:r>
          </w:p>
        </w:tc>
        <w:tc>
          <w:tcPr>
            <w:tcW w:w="2091"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w:t>
            </w:r>
            <w:r>
              <w:rPr>
                <w:rFonts w:hint="eastAsia" w:ascii="仿宋" w:hAnsi="仿宋" w:eastAsia="仿宋" w:cs="仿宋"/>
                <w:b/>
                <w:color w:val="auto"/>
                <w:szCs w:val="24"/>
                <w:highlight w:val="none"/>
                <w:lang w:val="en-US" w:eastAsia="zh-CN"/>
              </w:rPr>
              <w:t>服务</w:t>
            </w:r>
            <w:r>
              <w:rPr>
                <w:rFonts w:hint="eastAsia" w:ascii="仿宋" w:hAnsi="仿宋" w:eastAsia="仿宋" w:cs="仿宋"/>
                <w:b/>
                <w:color w:val="auto"/>
                <w:szCs w:val="24"/>
                <w:highlight w:val="none"/>
              </w:rPr>
              <w:t>响应</w:t>
            </w:r>
          </w:p>
        </w:tc>
        <w:tc>
          <w:tcPr>
            <w:tcW w:w="1134"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1271" w:type="dxa"/>
            <w:tcMar>
              <w:top w:w="57" w:type="dxa"/>
              <w:left w:w="28" w:type="dxa"/>
              <w:bottom w:w="57" w:type="dxa"/>
              <w:right w:w="28" w:type="dxa"/>
            </w:tcMar>
            <w:vAlign w:val="center"/>
          </w:tcPr>
          <w:p>
            <w:pPr>
              <w:spacing w:line="560" w:lineRule="exact"/>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94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Borders>
              <w:bottom w:val="single" w:color="auto" w:sz="4" w:space="0"/>
            </w:tcBorders>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c>
          <w:tcPr>
            <w:tcW w:w="94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5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316"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09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134"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c>
          <w:tcPr>
            <w:tcW w:w="1271" w:type="dxa"/>
            <w:tcMar>
              <w:top w:w="57" w:type="dxa"/>
              <w:left w:w="28" w:type="dxa"/>
              <w:bottom w:w="57" w:type="dxa"/>
              <w:right w:w="28" w:type="dxa"/>
            </w:tcMar>
            <w:vAlign w:val="center"/>
          </w:tcPr>
          <w:p>
            <w:pPr>
              <w:spacing w:line="560" w:lineRule="exact"/>
              <w:rPr>
                <w:rFonts w:hint="eastAsia" w:ascii="仿宋" w:hAnsi="仿宋" w:eastAsia="仿宋" w:cs="仿宋"/>
                <w:color w:val="auto"/>
                <w:szCs w:val="24"/>
                <w:highlight w:val="none"/>
              </w:rPr>
            </w:pPr>
          </w:p>
        </w:tc>
      </w:tr>
    </w:tbl>
    <w:p>
      <w:pPr>
        <w:spacing w:line="560" w:lineRule="exact"/>
        <w:ind w:left="240" w:leftChars="100"/>
        <w:rPr>
          <w:rFonts w:hint="eastAsia" w:ascii="仿宋" w:hAnsi="仿宋" w:eastAsia="仿宋" w:cs="仿宋"/>
          <w:b/>
          <w:bCs/>
          <w:color w:val="auto"/>
          <w:sz w:val="18"/>
          <w:szCs w:val="18"/>
          <w:highlight w:val="none"/>
          <w:u w:val="none"/>
          <w:lang w:val="en-US" w:eastAsia="zh-CN"/>
        </w:rPr>
      </w:pPr>
      <w:r>
        <w:rPr>
          <w:rFonts w:hint="eastAsia" w:ascii="仿宋" w:hAnsi="仿宋" w:eastAsia="仿宋" w:cs="仿宋"/>
          <w:b/>
          <w:bCs/>
          <w:color w:val="auto"/>
          <w:sz w:val="18"/>
          <w:szCs w:val="18"/>
          <w:highlight w:val="none"/>
          <w:u w:val="none"/>
          <w:lang w:eastAsia="zh-CN"/>
        </w:rPr>
        <w:t>注：本表请按项目的实际技术参数，逐条对应招标文件第三章《</w:t>
      </w:r>
      <w:r>
        <w:rPr>
          <w:rFonts w:hint="eastAsia" w:ascii="仿宋" w:hAnsi="仿宋" w:eastAsia="仿宋" w:cs="仿宋"/>
          <w:b/>
          <w:bCs/>
          <w:color w:val="auto"/>
          <w:sz w:val="18"/>
          <w:szCs w:val="18"/>
          <w:highlight w:val="none"/>
          <w:u w:val="none"/>
          <w:lang w:val="en-US" w:eastAsia="zh-CN"/>
        </w:rPr>
        <w:t>服务内容及技术要求</w:t>
      </w:r>
      <w:r>
        <w:rPr>
          <w:rFonts w:hint="eastAsia" w:ascii="仿宋" w:hAnsi="仿宋" w:eastAsia="仿宋" w:cs="仿宋"/>
          <w:b/>
          <w:bCs/>
          <w:color w:val="auto"/>
          <w:sz w:val="18"/>
          <w:szCs w:val="18"/>
          <w:highlight w:val="none"/>
          <w:u w:val="none"/>
          <w:lang w:eastAsia="zh-CN"/>
        </w:rPr>
        <w:t>》</w:t>
      </w:r>
      <w:r>
        <w:rPr>
          <w:rFonts w:hint="eastAsia" w:ascii="仿宋" w:hAnsi="仿宋" w:eastAsia="仿宋" w:cs="仿宋"/>
          <w:b/>
          <w:bCs/>
          <w:color w:val="auto"/>
          <w:sz w:val="18"/>
          <w:szCs w:val="18"/>
          <w:highlight w:val="none"/>
          <w:u w:val="none"/>
          <w:lang w:val="en-US" w:eastAsia="zh-CN"/>
        </w:rPr>
        <w:t>认真填写，偏离情况填写：优于、等于或低于，偏离说明对偏离情况做出详细说明。</w:t>
      </w:r>
    </w:p>
    <w:p>
      <w:pPr>
        <w:spacing w:line="560" w:lineRule="exact"/>
        <w:ind w:firstLine="480" w:firstLineChars="200"/>
        <w:rPr>
          <w:rFonts w:hint="eastAsia" w:ascii="仿宋" w:hAnsi="仿宋" w:eastAsia="仿宋" w:cs="仿宋"/>
          <w:color w:val="auto"/>
          <w:szCs w:val="24"/>
          <w:highlight w:val="none"/>
        </w:rPr>
      </w:pPr>
      <w:r>
        <w:rPr>
          <w:rFonts w:hint="eastAsia" w:ascii="仿宋" w:hAnsi="仿宋" w:eastAsia="仿宋" w:cs="仿宋"/>
          <w:color w:val="auto"/>
          <w:szCs w:val="24"/>
          <w:highlight w:val="none"/>
          <w:lang w:val="zh-CN"/>
        </w:rPr>
        <w:t>法定代表人或被授权人（签字或盖章）</w:t>
      </w:r>
      <w:r>
        <w:rPr>
          <w:rFonts w:hint="eastAsia" w:ascii="仿宋" w:hAnsi="仿宋" w:eastAsia="仿宋" w:cs="仿宋"/>
          <w:color w:val="auto"/>
          <w:szCs w:val="24"/>
          <w:highlight w:val="none"/>
        </w:rPr>
        <w:t>：</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（投标人单位公章）</w:t>
      </w:r>
    </w:p>
    <w:p>
      <w:pPr>
        <w:spacing w:line="560" w:lineRule="exact"/>
        <w:ind w:firstLine="360" w:firstLineChars="150"/>
        <w:rPr>
          <w:rFonts w:hint="eastAsia" w:ascii="仿宋" w:hAnsi="仿宋" w:eastAsia="仿宋" w:cs="仿宋"/>
          <w:color w:val="auto"/>
          <w:szCs w:val="24"/>
          <w:highlight w:val="none"/>
          <w:u w:val="single"/>
        </w:rPr>
      </w:pPr>
      <w:r>
        <w:rPr>
          <w:rFonts w:hint="eastAsia" w:ascii="仿宋" w:hAnsi="仿宋" w:eastAsia="仿宋" w:cs="仿宋"/>
          <w:color w:val="auto"/>
          <w:szCs w:val="24"/>
          <w:highlight w:val="none"/>
        </w:rPr>
        <w:t xml:space="preserve"> 日 期：</w:t>
      </w:r>
      <w:bookmarkStart w:id="140" w:name="_Toc193126887"/>
      <w:bookmarkStart w:id="141" w:name="_Toc188808838"/>
      <w:bookmarkStart w:id="142" w:name="_Toc194663924"/>
      <w:bookmarkStart w:id="143" w:name="_Toc193187103"/>
      <w:r>
        <w:rPr>
          <w:rFonts w:hint="eastAsia" w:ascii="仿宋" w:hAnsi="仿宋" w:eastAsia="仿宋" w:cs="仿宋"/>
          <w:color w:val="auto"/>
          <w:szCs w:val="24"/>
          <w:highlight w:val="none"/>
        </w:rPr>
        <w:t xml:space="preserve">   </w:t>
      </w:r>
    </w:p>
    <w:p>
      <w:pPr>
        <w:pStyle w:val="36"/>
        <w:spacing w:line="560" w:lineRule="exact"/>
        <w:ind w:firstLineChars="71"/>
        <w:rPr>
          <w:rFonts w:hint="eastAsia" w:ascii="仿宋" w:hAnsi="仿宋" w:eastAsia="仿宋" w:cs="仿宋"/>
          <w:b/>
          <w:color w:val="auto"/>
          <w:highlight w:val="none"/>
        </w:rPr>
      </w:pPr>
      <w:bookmarkStart w:id="144" w:name="_Toc458617476"/>
      <w:bookmarkStart w:id="145" w:name="_Toc2240"/>
      <w:bookmarkStart w:id="146" w:name="_Toc11969"/>
    </w:p>
    <w:p>
      <w:pPr>
        <w:pStyle w:val="36"/>
        <w:spacing w:line="560" w:lineRule="exact"/>
        <w:ind w:firstLineChars="71"/>
        <w:rPr>
          <w:rFonts w:hint="eastAsia" w:ascii="仿宋" w:hAnsi="仿宋" w:eastAsia="仿宋" w:cs="仿宋"/>
          <w:bCs/>
          <w:color w:val="auto"/>
          <w:sz w:val="24"/>
          <w:szCs w:val="21"/>
          <w:highlight w:val="none"/>
        </w:rPr>
      </w:pPr>
      <w:r>
        <w:rPr>
          <w:rFonts w:hint="eastAsia" w:ascii="仿宋" w:hAnsi="仿宋" w:eastAsia="仿宋" w:cs="仿宋"/>
          <w:b/>
          <w:color w:val="auto"/>
          <w:highlight w:val="none"/>
          <w:lang w:val="en-US" w:eastAsia="zh-CN"/>
        </w:rPr>
        <w:t>5</w:t>
      </w:r>
      <w:r>
        <w:rPr>
          <w:rFonts w:hint="eastAsia" w:ascii="仿宋" w:hAnsi="仿宋" w:eastAsia="仿宋" w:cs="仿宋"/>
          <w:b/>
          <w:color w:val="auto"/>
          <w:highlight w:val="none"/>
        </w:rPr>
        <w:t>.商务条款响应偏离表</w:t>
      </w:r>
      <w:bookmarkEnd w:id="140"/>
      <w:bookmarkEnd w:id="141"/>
      <w:bookmarkEnd w:id="142"/>
      <w:bookmarkEnd w:id="143"/>
      <w:bookmarkEnd w:id="144"/>
      <w:bookmarkEnd w:id="145"/>
      <w:bookmarkEnd w:id="146"/>
      <w:r>
        <w:rPr>
          <w:rFonts w:hint="eastAsia" w:ascii="仿宋" w:hAnsi="仿宋" w:eastAsia="仿宋" w:cs="仿宋"/>
          <w:bCs/>
          <w:color w:val="auto"/>
          <w:sz w:val="24"/>
          <w:szCs w:val="21"/>
          <w:highlight w:val="none"/>
        </w:rPr>
        <w:t>（格式）</w:t>
      </w:r>
    </w:p>
    <w:p>
      <w:pPr>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               项目编号：</w:t>
      </w:r>
      <w:r>
        <w:rPr>
          <w:rFonts w:hint="eastAsia" w:ascii="仿宋" w:hAnsi="仿宋" w:eastAsia="仿宋" w:cs="仿宋"/>
          <w:color w:val="auto"/>
          <w:szCs w:val="24"/>
          <w:highlight w:val="none"/>
          <w:u w:val="single"/>
        </w:rPr>
        <w:t xml:space="preserve">             </w:t>
      </w:r>
    </w:p>
    <w:tbl>
      <w:tblPr>
        <w:tblStyle w:val="22"/>
        <w:tblW w:w="9343"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5"/>
        <w:gridCol w:w="3163"/>
        <w:gridCol w:w="2474"/>
        <w:gridCol w:w="1381"/>
        <w:gridCol w:w="150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110" w:leftChars="-46"/>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 xml:space="preserve"> 序号</w:t>
            </w:r>
          </w:p>
        </w:tc>
        <w:tc>
          <w:tcPr>
            <w:tcW w:w="3163"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招标文件商务要求</w:t>
            </w:r>
          </w:p>
        </w:tc>
        <w:tc>
          <w:tcPr>
            <w:tcW w:w="2474"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投标文件商务响应</w:t>
            </w:r>
          </w:p>
        </w:tc>
        <w:tc>
          <w:tcPr>
            <w:tcW w:w="1381"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偏离情况</w:t>
            </w:r>
          </w:p>
        </w:tc>
        <w:tc>
          <w:tcPr>
            <w:tcW w:w="1500" w:type="dxa"/>
            <w:tcMar>
              <w:top w:w="57" w:type="dxa"/>
              <w:left w:w="28" w:type="dxa"/>
              <w:bottom w:w="57" w:type="dxa"/>
              <w:right w:w="28" w:type="dxa"/>
            </w:tcMar>
            <w:vAlign w:val="center"/>
          </w:tcPr>
          <w:p>
            <w:pPr>
              <w:spacing w:line="560" w:lineRule="exact"/>
              <w:ind w:left="240" w:leftChars="100"/>
              <w:jc w:val="center"/>
              <w:rPr>
                <w:rFonts w:hint="eastAsia" w:ascii="仿宋" w:hAnsi="仿宋" w:eastAsia="仿宋" w:cs="仿宋"/>
                <w:b/>
                <w:color w:val="auto"/>
                <w:szCs w:val="24"/>
                <w:highlight w:val="none"/>
              </w:rPr>
            </w:pPr>
            <w:r>
              <w:rPr>
                <w:rFonts w:hint="eastAsia" w:ascii="仿宋" w:hAnsi="仿宋" w:eastAsia="仿宋" w:cs="仿宋"/>
                <w:b/>
                <w:color w:val="auto"/>
                <w:szCs w:val="24"/>
                <w:highlight w:val="none"/>
              </w:rPr>
              <w:t>偏离说明</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8"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val="en-US" w:eastAsia="zh-CN"/>
              </w:rPr>
            </w:pPr>
          </w:p>
        </w:tc>
        <w:tc>
          <w:tcPr>
            <w:tcW w:w="3163" w:type="dxa"/>
            <w:tcBorders>
              <w:bottom w:val="single" w:color="auto" w:sz="4" w:space="0"/>
            </w:tcBorders>
            <w:tcMar>
              <w:top w:w="57" w:type="dxa"/>
              <w:left w:w="28" w:type="dxa"/>
              <w:bottom w:w="57" w:type="dxa"/>
              <w:right w:w="28" w:type="dxa"/>
            </w:tcMar>
            <w:vAlign w:val="center"/>
          </w:tcPr>
          <w:p>
            <w:pPr>
              <w:adjustRightInd w:val="0"/>
              <w:snapToGrid w:val="0"/>
              <w:spacing w:line="560" w:lineRule="exact"/>
              <w:ind w:firstLine="600" w:firstLineChars="250"/>
              <w:rPr>
                <w:rFonts w:hint="eastAsia" w:ascii="仿宋" w:hAnsi="仿宋" w:eastAsia="仿宋" w:cs="仿宋"/>
                <w:color w:val="auto"/>
                <w:szCs w:val="24"/>
                <w:highlight w:val="none"/>
              </w:rPr>
            </w:pPr>
          </w:p>
        </w:tc>
        <w:tc>
          <w:tcPr>
            <w:tcW w:w="247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825"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474"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Borders>
              <w:bottom w:val="single" w:color="auto" w:sz="4" w:space="0"/>
            </w:tcBorders>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napToGrid w:val="0"/>
              <w:spacing w:line="560" w:lineRule="exact"/>
              <w:ind w:firstLine="470" w:firstLineChars="196"/>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napToGrid w:val="0"/>
              <w:spacing w:line="560" w:lineRule="exact"/>
              <w:ind w:firstLine="470" w:firstLineChars="196"/>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5"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lang w:eastAsia="zh-CN"/>
              </w:rPr>
            </w:pPr>
          </w:p>
        </w:tc>
        <w:tc>
          <w:tcPr>
            <w:tcW w:w="3163" w:type="dxa"/>
            <w:tcMar>
              <w:top w:w="57" w:type="dxa"/>
              <w:left w:w="28" w:type="dxa"/>
              <w:bottom w:w="57" w:type="dxa"/>
              <w:right w:w="28" w:type="dxa"/>
            </w:tcMar>
            <w:vAlign w:val="center"/>
          </w:tcPr>
          <w:p>
            <w:pPr>
              <w:adjustRightInd w:val="0"/>
              <w:spacing w:line="560" w:lineRule="exact"/>
              <w:ind w:firstLine="480" w:firstLineChars="200"/>
              <w:rPr>
                <w:rFonts w:hint="eastAsia" w:ascii="仿宋" w:hAnsi="仿宋" w:eastAsia="仿宋" w:cs="仿宋"/>
                <w:color w:val="auto"/>
                <w:szCs w:val="24"/>
                <w:highlight w:val="none"/>
              </w:rPr>
            </w:pPr>
          </w:p>
        </w:tc>
        <w:tc>
          <w:tcPr>
            <w:tcW w:w="2474"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381"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c>
          <w:tcPr>
            <w:tcW w:w="1500" w:type="dxa"/>
            <w:tcMar>
              <w:top w:w="57" w:type="dxa"/>
              <w:left w:w="28" w:type="dxa"/>
              <w:bottom w:w="57" w:type="dxa"/>
              <w:right w:w="28" w:type="dxa"/>
            </w:tcMar>
            <w:vAlign w:val="center"/>
          </w:tcPr>
          <w:p>
            <w:pPr>
              <w:spacing w:line="560" w:lineRule="exact"/>
              <w:ind w:left="240" w:leftChars="100"/>
              <w:rPr>
                <w:rFonts w:hint="eastAsia" w:ascii="仿宋" w:hAnsi="仿宋" w:eastAsia="仿宋" w:cs="仿宋"/>
                <w:color w:val="auto"/>
                <w:szCs w:val="24"/>
                <w:highlight w:val="none"/>
              </w:rPr>
            </w:pPr>
          </w:p>
        </w:tc>
      </w:tr>
    </w:tbl>
    <w:p>
      <w:pPr>
        <w:spacing w:line="560" w:lineRule="exact"/>
        <w:ind w:left="240" w:leftChars="100"/>
        <w:rPr>
          <w:rFonts w:hint="eastAsia" w:ascii="仿宋" w:hAnsi="仿宋" w:eastAsia="仿宋" w:cs="仿宋"/>
          <w:b/>
          <w:bCs/>
          <w:color w:val="auto"/>
          <w:sz w:val="18"/>
          <w:szCs w:val="18"/>
          <w:highlight w:val="none"/>
          <w:lang w:val="en-US" w:eastAsia="zh-CN"/>
        </w:rPr>
      </w:pPr>
      <w:r>
        <w:rPr>
          <w:rFonts w:hint="eastAsia" w:ascii="仿宋" w:hAnsi="仿宋" w:eastAsia="仿宋" w:cs="仿宋"/>
          <w:b/>
          <w:bCs/>
          <w:color w:val="auto"/>
          <w:sz w:val="18"/>
          <w:szCs w:val="18"/>
          <w:highlight w:val="none"/>
        </w:rPr>
        <w:t xml:space="preserve"> </w:t>
      </w:r>
      <w:r>
        <w:rPr>
          <w:rFonts w:hint="eastAsia" w:ascii="仿宋" w:hAnsi="仿宋" w:eastAsia="仿宋" w:cs="仿宋"/>
          <w:b/>
          <w:bCs/>
          <w:color w:val="auto"/>
          <w:sz w:val="18"/>
          <w:szCs w:val="18"/>
          <w:highlight w:val="none"/>
          <w:lang w:eastAsia="zh-CN"/>
        </w:rPr>
        <w:t>注：本表按照招标文件第四章《</w:t>
      </w:r>
      <w:r>
        <w:rPr>
          <w:rFonts w:hint="eastAsia" w:ascii="仿宋" w:hAnsi="仿宋" w:eastAsia="仿宋" w:cs="仿宋"/>
          <w:b/>
          <w:bCs/>
          <w:color w:val="auto"/>
          <w:sz w:val="18"/>
          <w:szCs w:val="18"/>
          <w:highlight w:val="none"/>
          <w:lang w:val="en-US" w:eastAsia="zh-CN"/>
        </w:rPr>
        <w:t>商务要求</w:t>
      </w:r>
      <w:r>
        <w:rPr>
          <w:rFonts w:hint="eastAsia" w:ascii="仿宋" w:hAnsi="仿宋" w:eastAsia="仿宋" w:cs="仿宋"/>
          <w:b/>
          <w:bCs/>
          <w:color w:val="auto"/>
          <w:sz w:val="18"/>
          <w:szCs w:val="18"/>
          <w:highlight w:val="none"/>
          <w:lang w:eastAsia="zh-CN"/>
        </w:rPr>
        <w:t>》</w:t>
      </w:r>
      <w:r>
        <w:rPr>
          <w:rFonts w:hint="eastAsia" w:ascii="仿宋" w:hAnsi="仿宋" w:eastAsia="仿宋" w:cs="仿宋"/>
          <w:b/>
          <w:bCs/>
          <w:color w:val="auto"/>
          <w:sz w:val="18"/>
          <w:szCs w:val="18"/>
          <w:highlight w:val="none"/>
          <w:lang w:val="en-US" w:eastAsia="zh-CN"/>
        </w:rPr>
        <w:t>逐条响应，否则按无效投标处理。</w:t>
      </w:r>
      <w:r>
        <w:rPr>
          <w:rFonts w:hint="eastAsia" w:ascii="仿宋" w:hAnsi="仿宋" w:eastAsia="仿宋" w:cs="仿宋"/>
          <w:b/>
          <w:bCs/>
          <w:color w:val="auto"/>
          <w:sz w:val="18"/>
          <w:szCs w:val="18"/>
          <w:highlight w:val="none"/>
          <w:u w:val="none"/>
          <w:lang w:val="en-US" w:eastAsia="zh-CN"/>
        </w:rPr>
        <w:t>偏离情况填写：优于、等于或低于，偏离说明对偏离情况做出详细说明。</w:t>
      </w:r>
    </w:p>
    <w:p>
      <w:pPr>
        <w:spacing w:line="560" w:lineRule="exact"/>
        <w:ind w:left="240" w:leftChars="10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法定代表人或被授权人（签字或盖章）</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（投标人单位公章）  </w:t>
      </w:r>
    </w:p>
    <w:p>
      <w:pPr>
        <w:spacing w:line="560" w:lineRule="exact"/>
        <w:ind w:left="240" w:leftChars="100" w:firstLine="480" w:firstLineChars="200"/>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pPr>
        <w:autoSpaceDE w:val="0"/>
        <w:autoSpaceDN w:val="0"/>
        <w:adjustRightInd w:val="0"/>
        <w:snapToGrid w:val="0"/>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 w:val="24"/>
          <w:szCs w:val="24"/>
          <w:highlight w:val="none"/>
          <w:u w:val="single"/>
        </w:rPr>
        <w:br w:type="page"/>
      </w:r>
    </w:p>
    <w:p>
      <w:pPr>
        <w:pStyle w:val="36"/>
        <w:spacing w:line="560" w:lineRule="exact"/>
        <w:ind w:firstLineChars="71"/>
        <w:rPr>
          <w:rFonts w:hint="eastAsia" w:ascii="仿宋" w:hAnsi="仿宋" w:eastAsia="仿宋" w:cs="仿宋"/>
          <w:b/>
          <w:color w:val="auto"/>
          <w:highlight w:val="none"/>
          <w:u w:val="wavyHeavy" w:color="FF0000"/>
        </w:rPr>
      </w:pPr>
      <w:bookmarkStart w:id="147" w:name="_Toc458617478"/>
      <w:bookmarkStart w:id="148" w:name="_Toc5659"/>
      <w:bookmarkStart w:id="149" w:name="_Toc28085"/>
      <w:r>
        <w:rPr>
          <w:rFonts w:hint="eastAsia" w:ascii="仿宋" w:hAnsi="仿宋" w:eastAsia="仿宋" w:cs="仿宋"/>
          <w:b/>
          <w:color w:val="auto"/>
          <w:highlight w:val="none"/>
          <w:lang w:val="en-US" w:eastAsia="zh-CN"/>
        </w:rPr>
        <w:t>6</w:t>
      </w:r>
      <w:r>
        <w:rPr>
          <w:rFonts w:hint="eastAsia" w:ascii="仿宋" w:hAnsi="仿宋" w:eastAsia="仿宋" w:cs="仿宋"/>
          <w:b/>
          <w:color w:val="auto"/>
          <w:highlight w:val="none"/>
        </w:rPr>
        <w:t>.资格证明文件</w:t>
      </w:r>
      <w:bookmarkEnd w:id="110"/>
      <w:bookmarkEnd w:id="111"/>
      <w:bookmarkEnd w:id="112"/>
      <w:bookmarkEnd w:id="113"/>
      <w:bookmarkEnd w:id="147"/>
      <w:bookmarkEnd w:id="148"/>
      <w:bookmarkEnd w:id="149"/>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（1）基本资格条件：符合《中华人民共和国政府采购法》第二十二条的规定：</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1、具有独立承担民事责任能力的法人、其他组织或自然人，并出具合法有效的营业执照或事业单位法人证书等国家规定的相关证明，自然人参与的提供其身份证明。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财务状况报告：提供具有财务审计资质单位出具的2020年度或2021年度财务报告（成立时间至开标时间不足一年的可提供成立后任意时段的资产负债表）或开标前六个月内其基本账户银行出具的资信证明（附开户许可证或基本账户证明）或政府采购信用担保机构出具的投标担保函。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3、税收缴纳证明：提供2022年1月1日至今任意一个月的缴费凭据；（依法免税的投标人应提供相关文件证明）。</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4、社会保障资金缴纳证明：提供2022年1月1日至今任意一个月的社保缴费凭据或社保机构开具的社会保险参保缴费情况证明；（依法不需要缴纳社会保障资金的投标人应提供相关证明）。 </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5、提供具有履行本合同所必需的设备和专业技术能力的说明及承诺；（格式自拟，加盖投标人公章）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6、提供参加政府采购活动前三年内在经营活动中没有重大违法记录的书面声明。（格式自拟，加盖投标人公章）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（2）、特定资格条件：</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1、法定代表人或负责人参与投标时需提供法定代表人或负责人资格证明书（附法定代表人或负责人身份证复印件）；（法定代表人或负责人须提供身份证原件，身份证原件可由本人持有）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2、被授权人参与投标时需提供法定代表人或负责人授权委托书（附法定代表人或负责人及被授权人身份证复印件）；（被授权人须提供身份证原件，身份证原件可由本人持有）</w:t>
      </w:r>
      <w:r>
        <w:rPr>
          <w:rFonts w:hint="eastAsia" w:ascii="仿宋" w:hAnsi="仿宋" w:eastAsia="仿宋" w:cs="仿宋"/>
          <w:b/>
          <w:bCs/>
          <w:color w:val="auto"/>
          <w:sz w:val="24"/>
          <w:highlight w:val="none"/>
          <w:lang w:val="en-US" w:eastAsia="zh-CN"/>
        </w:rPr>
        <w:t>(格式后附）</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投标人不得为“信用中国”网站（www.creditchina.gov.cn）中列入失信被执行人和重大税收违法案件当事人名单的投标人，不得为中国政府采购网（www.ccgp.gov.cn）政府采购严重违法失信行为记录名单中被财政部门禁止参加政府采购活动的投标人；（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、单位负责人为同一人或者存在直接控股、管理关系的不同投标人，不得参加同一合同项下的政府采购活动；（提供书面承诺函，格式自拟加盖投标人公章）</w:t>
      </w:r>
    </w:p>
    <w:p>
      <w:pPr>
        <w:pStyle w:val="36"/>
        <w:keepNext w:val="0"/>
        <w:keepLines w:val="0"/>
        <w:pageBreakBefore w:val="0"/>
        <w:widowControl/>
        <w:kinsoku/>
        <w:wordWrap w:val="0"/>
        <w:overflowPunct/>
        <w:topLinePunct/>
        <w:autoSpaceDE/>
        <w:autoSpaceDN/>
        <w:bidi w:val="0"/>
        <w:adjustRightInd/>
        <w:snapToGrid/>
        <w:spacing w:line="640" w:lineRule="exact"/>
        <w:ind w:left="0" w:leftChars="0" w:right="0" w:rightChars="0" w:firstLine="480" w:firstLineChars="200"/>
        <w:jc w:val="both"/>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本项目专门面向中小企业采购；须符合《政府采购促进中小企业发展管理办法》（财库〔2020〕46号）规定的中小企业参加；(提供《中小企业声明函》，式样见投标文件格式)</w:t>
      </w: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pPr>
        <w:spacing w:line="560" w:lineRule="exact"/>
        <w:ind w:left="240" w:leftChars="100"/>
        <w:jc w:val="center"/>
        <w:rPr>
          <w:rFonts w:hint="eastAsia" w:ascii="仿宋" w:hAnsi="仿宋" w:eastAsia="仿宋" w:cs="仿宋"/>
          <w:b/>
          <w:bCs/>
          <w:color w:val="auto"/>
          <w:szCs w:val="24"/>
          <w:highlight w:val="none"/>
        </w:rPr>
      </w:pPr>
      <w:bookmarkStart w:id="150" w:name="_Toc48791236"/>
      <w:bookmarkStart w:id="151" w:name="_Toc49019498"/>
      <w:bookmarkStart w:id="152" w:name="_Toc47262070"/>
      <w:bookmarkStart w:id="153" w:name="_Toc47418939"/>
      <w:bookmarkStart w:id="154" w:name="_Toc49019237"/>
      <w:bookmarkStart w:id="155" w:name="_Toc48995852"/>
      <w:bookmarkStart w:id="156" w:name="_Toc47261691"/>
      <w:bookmarkStart w:id="157" w:name="_Toc47261886"/>
      <w:bookmarkStart w:id="158" w:name="_Toc47418732"/>
      <w:bookmarkStart w:id="159" w:name="_Toc47418256"/>
      <w:r>
        <w:rPr>
          <w:rFonts w:hint="eastAsia" w:ascii="仿宋" w:hAnsi="仿宋" w:eastAsia="仿宋" w:cs="仿宋"/>
          <w:b/>
          <w:bCs/>
          <w:color w:val="auto"/>
          <w:szCs w:val="24"/>
          <w:highlight w:val="none"/>
        </w:rPr>
        <w:t>法定代表人资格证明书</w:t>
      </w:r>
    </w:p>
    <w:tbl>
      <w:tblPr>
        <w:tblStyle w:val="22"/>
        <w:tblW w:w="100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2470"/>
        <w:gridCol w:w="1965"/>
        <w:gridCol w:w="1336"/>
        <w:gridCol w:w="2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8421" w:type="dxa"/>
            <w:gridSpan w:val="4"/>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   限</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有效期</w:t>
            </w:r>
          </w:p>
        </w:tc>
        <w:tc>
          <w:tcPr>
            <w:tcW w:w="8421" w:type="dxa"/>
            <w:gridSpan w:val="4"/>
            <w:vAlign w:val="center"/>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w:t>
            </w:r>
          </w:p>
          <w:p>
            <w:pPr>
              <w:tabs>
                <w:tab w:val="right" w:leader="dot" w:pos="9022"/>
              </w:tabs>
              <w:autoSpaceDE w:val="0"/>
              <w:autoSpaceDN w:val="0"/>
              <w:adjustRightInd w:val="0"/>
              <w:spacing w:line="560" w:lineRule="exact"/>
              <w:ind w:firstLine="240" w:firstLineChars="100"/>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信息</w:t>
            </w: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工商登记机关</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spacing w:line="560" w:lineRule="exac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网        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restart"/>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表人</w:t>
            </w: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    名</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    务</w:t>
            </w:r>
          </w:p>
        </w:tc>
        <w:tc>
          <w:tcPr>
            <w:tcW w:w="1965"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c>
          <w:tcPr>
            <w:tcW w:w="1336"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联系电话</w:t>
            </w:r>
          </w:p>
        </w:tc>
        <w:tc>
          <w:tcPr>
            <w:tcW w:w="2650" w:type="dxa"/>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传    真</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jc w:val="center"/>
        </w:trPr>
        <w:tc>
          <w:tcPr>
            <w:tcW w:w="1621" w:type="dxa"/>
            <w:vMerge w:val="continue"/>
            <w:vAlign w:val="center"/>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p>
        </w:tc>
        <w:tc>
          <w:tcPr>
            <w:tcW w:w="2470" w:type="dxa"/>
          </w:tcPr>
          <w:p>
            <w:pPr>
              <w:tabs>
                <w:tab w:val="right" w:leader="dot" w:pos="9022"/>
              </w:tabs>
              <w:autoSpaceDE w:val="0"/>
              <w:autoSpaceDN w:val="0"/>
              <w:adjustRightInd w:val="0"/>
              <w:spacing w:line="560" w:lineRule="exact"/>
              <w:ind w:firstLine="240" w:firstLineChars="100"/>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5951" w:type="dxa"/>
            <w:gridSpan w:val="3"/>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58" w:hRule="atLeast"/>
          <w:jc w:val="center"/>
        </w:trPr>
        <w:tc>
          <w:tcPr>
            <w:tcW w:w="10042" w:type="dxa"/>
            <w:gridSpan w:val="5"/>
          </w:tcPr>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tabs>
                <w:tab w:val="right" w:leader="dot" w:pos="9022"/>
              </w:tabs>
              <w:autoSpaceDE w:val="0"/>
              <w:autoSpaceDN w:val="0"/>
              <w:adjustRightInd w:val="0"/>
              <w:spacing w:line="560" w:lineRule="exact"/>
              <w:jc w:val="center"/>
              <w:rPr>
                <w:rFonts w:hint="eastAsia" w:ascii="仿宋" w:hAnsi="仿宋" w:eastAsia="仿宋" w:cs="仿宋"/>
                <w:color w:val="auto"/>
                <w:spacing w:val="-4"/>
                <w:szCs w:val="24"/>
                <w:highlight w:val="none"/>
              </w:rPr>
            </w:pP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color w:val="auto"/>
                <w:spacing w:val="-4"/>
                <w:szCs w:val="24"/>
                <w:highlight w:val="none"/>
              </w:rPr>
              <w:t>二代身份证正、反两面都需复印</w:t>
            </w:r>
          </w:p>
          <w:p>
            <w:pPr>
              <w:tabs>
                <w:tab w:val="right" w:leader="dot" w:pos="9022"/>
              </w:tabs>
              <w:autoSpaceDE w:val="0"/>
              <w:autoSpaceDN w:val="0"/>
              <w:adjustRightInd w:val="0"/>
              <w:spacing w:line="560" w:lineRule="exact"/>
              <w:jc w:val="center"/>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 w:hRule="atLeast"/>
          <w:jc w:val="center"/>
        </w:trPr>
        <w:tc>
          <w:tcPr>
            <w:tcW w:w="10042" w:type="dxa"/>
            <w:gridSpan w:val="5"/>
          </w:tcPr>
          <w:p>
            <w:pPr>
              <w:tabs>
                <w:tab w:val="right" w:leader="dot" w:pos="9022"/>
              </w:tabs>
              <w:autoSpaceDE w:val="0"/>
              <w:autoSpaceDN w:val="0"/>
              <w:adjustRightInd w:val="0"/>
              <w:spacing w:line="560" w:lineRule="exact"/>
              <w:jc w:val="left"/>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042" w:type="dxa"/>
            <w:gridSpan w:val="5"/>
          </w:tcPr>
          <w:p>
            <w:pPr>
              <w:spacing w:line="560" w:lineRule="exact"/>
              <w:rPr>
                <w:rFonts w:hint="eastAsia" w:ascii="仿宋" w:hAnsi="仿宋" w:eastAsia="仿宋" w:cs="仿宋"/>
                <w:bCs/>
                <w:caps/>
                <w:color w:val="auto"/>
                <w:szCs w:val="24"/>
                <w:highlight w:val="none"/>
              </w:rPr>
            </w:pPr>
            <w:r>
              <w:rPr>
                <w:rFonts w:hint="eastAsia" w:ascii="仿宋" w:hAnsi="仿宋" w:eastAsia="仿宋" w:cs="仿宋"/>
                <w:color w:val="auto"/>
                <w:szCs w:val="24"/>
                <w:highlight w:val="none"/>
              </w:rPr>
              <w:t>投标人名称：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（投标人单位公章）   </w:t>
            </w:r>
            <w:r>
              <w:rPr>
                <w:rFonts w:hint="eastAsia" w:ascii="仿宋" w:hAnsi="仿宋" w:eastAsia="仿宋" w:cs="仿宋"/>
                <w:color w:val="auto"/>
                <w:szCs w:val="24"/>
                <w:highlight w:val="none"/>
                <w:lang w:val="en-US" w:eastAsia="zh-CN"/>
              </w:rPr>
              <w:t xml:space="preserve"> </w:t>
            </w:r>
            <w:r>
              <w:rPr>
                <w:rFonts w:hint="eastAsia" w:ascii="仿宋" w:hAnsi="仿宋" w:eastAsia="仿宋" w:cs="仿宋"/>
                <w:color w:val="auto"/>
                <w:szCs w:val="24"/>
                <w:highlight w:val="none"/>
              </w:rPr>
              <w:t xml:space="preserve">   日 期：</w:t>
            </w:r>
          </w:p>
        </w:tc>
      </w:tr>
    </w:tbl>
    <w:p>
      <w:pPr>
        <w:tabs>
          <w:tab w:val="left" w:pos="210"/>
        </w:tabs>
        <w:spacing w:line="320" w:lineRule="exact"/>
        <w:jc w:val="center"/>
        <w:rPr>
          <w:rFonts w:hint="eastAsia" w:ascii="宋体" w:hAnsi="宋体" w:cs="Arial"/>
          <w:b/>
          <w:color w:val="auto"/>
          <w:kern w:val="0"/>
          <w:sz w:val="32"/>
          <w:szCs w:val="32"/>
          <w:highlight w:val="none"/>
        </w:rPr>
      </w:pPr>
      <w:r>
        <w:rPr>
          <w:rFonts w:hint="eastAsia" w:ascii="仿宋" w:hAnsi="仿宋" w:eastAsia="仿宋" w:cs="仿宋"/>
          <w:color w:val="auto"/>
          <w:kern w:val="0"/>
          <w:sz w:val="24"/>
          <w:highlight w:val="none"/>
          <w:u w:val="none"/>
        </w:rPr>
        <w:t>（法定代表人直接投标，只须提供法定代表人证明书及身份证原件）</w:t>
      </w:r>
      <w:r>
        <w:rPr>
          <w:rFonts w:hint="eastAsia" w:ascii="仿宋" w:hAnsi="仿宋" w:eastAsia="仿宋" w:cs="仿宋"/>
          <w:b/>
          <w:color w:val="auto"/>
          <w:kern w:val="0"/>
          <w:sz w:val="32"/>
          <w:szCs w:val="32"/>
          <w:highlight w:val="none"/>
        </w:rPr>
        <w:br w:type="page"/>
      </w:r>
    </w:p>
    <w:p>
      <w:pPr>
        <w:spacing w:line="560" w:lineRule="exact"/>
        <w:ind w:left="240" w:leftChars="100"/>
        <w:jc w:val="center"/>
        <w:rPr>
          <w:rFonts w:hint="eastAsia" w:ascii="仿宋" w:hAnsi="仿宋" w:eastAsia="仿宋" w:cs="仿宋"/>
          <w:b/>
          <w:bCs/>
          <w:color w:val="auto"/>
          <w:szCs w:val="24"/>
          <w:highlight w:val="none"/>
        </w:rPr>
      </w:pPr>
      <w:r>
        <w:rPr>
          <w:rFonts w:hint="eastAsia" w:ascii="仿宋" w:hAnsi="仿宋" w:eastAsia="仿宋" w:cs="仿宋"/>
          <w:b/>
          <w:bCs/>
          <w:color w:val="auto"/>
          <w:szCs w:val="24"/>
          <w:highlight w:val="none"/>
        </w:rPr>
        <w:t>法定代表人授权委托书</w:t>
      </w:r>
    </w:p>
    <w:tbl>
      <w:tblPr>
        <w:tblStyle w:val="22"/>
        <w:tblW w:w="1019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1355"/>
        <w:gridCol w:w="1134"/>
        <w:gridCol w:w="708"/>
        <w:gridCol w:w="851"/>
        <w:gridCol w:w="1559"/>
        <w:gridCol w:w="2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195" w:type="dxa"/>
            <w:gridSpan w:val="7"/>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lang w:eastAsia="zh-CN"/>
              </w:rPr>
            </w:pPr>
            <w:r>
              <w:rPr>
                <w:rFonts w:hint="eastAsia" w:ascii="仿宋" w:hAnsi="仿宋" w:eastAsia="仿宋" w:cs="仿宋"/>
                <w:bCs/>
                <w:caps/>
                <w:color w:val="auto"/>
                <w:szCs w:val="24"/>
                <w:highlight w:val="none"/>
              </w:rPr>
              <w:t>致：</w:t>
            </w:r>
            <w:r>
              <w:rPr>
                <w:rFonts w:hint="eastAsia" w:ascii="仿宋" w:hAnsi="仿宋" w:eastAsia="仿宋" w:cs="仿宋"/>
                <w:bCs/>
                <w:caps/>
                <w:color w:val="auto"/>
                <w:szCs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权项</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目与</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内容</w:t>
            </w: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项目名称</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文件编号</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ind w:firstLine="1200" w:firstLineChars="500"/>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授权范围</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全权办理本次招标采购项目的投标、联系、洽谈、签约、执行等具体事务，签署全部有关文件、文书、协议及合同。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法律责任</w:t>
            </w:r>
          </w:p>
        </w:tc>
        <w:tc>
          <w:tcPr>
            <w:tcW w:w="7138" w:type="dxa"/>
            <w:gridSpan w:val="5"/>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本公司对被授权人在本项目中的签名承担全部法律责任。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授权期限</w:t>
            </w:r>
          </w:p>
        </w:tc>
        <w:tc>
          <w:tcPr>
            <w:tcW w:w="7138" w:type="dxa"/>
            <w:gridSpan w:val="5"/>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本授权书</w:t>
            </w:r>
            <w:r>
              <w:rPr>
                <w:rFonts w:hint="eastAsia" w:ascii="仿宋" w:hAnsi="仿宋" w:eastAsia="仿宋" w:cs="仿宋"/>
                <w:color w:val="auto"/>
                <w:szCs w:val="24"/>
                <w:highlight w:val="none"/>
              </w:rPr>
              <w:t>自提交投标文件的截止之日起90个日历日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企业信息</w:t>
            </w: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 xml:space="preserve">企 业 名 称 </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 定 地 址</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2489" w:type="dxa"/>
            <w:gridSpan w:val="2"/>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营业执照注册证号</w:t>
            </w:r>
          </w:p>
        </w:tc>
        <w:tc>
          <w:tcPr>
            <w:tcW w:w="6004"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w:t>
            </w: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restart"/>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w:t>
            </w: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姓名</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性    别</w:t>
            </w:r>
          </w:p>
        </w:tc>
        <w:tc>
          <w:tcPr>
            <w:tcW w:w="2886"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vMerge w:val="continue"/>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1355"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职务</w:t>
            </w:r>
          </w:p>
        </w:tc>
        <w:tc>
          <w:tcPr>
            <w:tcW w:w="2693"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p>
        </w:tc>
        <w:tc>
          <w:tcPr>
            <w:tcW w:w="1559" w:type="dxa"/>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手机号码</w:t>
            </w:r>
          </w:p>
        </w:tc>
        <w:tc>
          <w:tcPr>
            <w:tcW w:w="2886"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02" w:type="dxa"/>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通讯地址</w:t>
            </w:r>
          </w:p>
        </w:tc>
        <w:tc>
          <w:tcPr>
            <w:tcW w:w="8493" w:type="dxa"/>
            <w:gridSpan w:val="6"/>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40" w:hRule="atLeast"/>
          <w:jc w:val="center"/>
        </w:trPr>
        <w:tc>
          <w:tcPr>
            <w:tcW w:w="4899"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法定代表人身份证复印件</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c>
          <w:tcPr>
            <w:tcW w:w="5296"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被授权人身份证复印件</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二代身份证正、反两面都需复印</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center"/>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（粘贴处）</w:t>
            </w:r>
          </w:p>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4899" w:type="dxa"/>
            <w:gridSpan w:val="4"/>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法定代表人签字或盖章：</w:t>
            </w:r>
          </w:p>
        </w:tc>
        <w:tc>
          <w:tcPr>
            <w:tcW w:w="5296" w:type="dxa"/>
            <w:gridSpan w:val="3"/>
            <w:vAlign w:val="center"/>
          </w:tcPr>
          <w:p>
            <w:pPr>
              <w:keepNext w:val="0"/>
              <w:keepLines w:val="0"/>
              <w:pageBreakBefore w:val="0"/>
              <w:widowControl w:val="0"/>
              <w:tabs>
                <w:tab w:val="right" w:leader="dot" w:pos="9022"/>
              </w:tabs>
              <w:kinsoku/>
              <w:wordWrap/>
              <w:overflowPunct/>
              <w:topLinePunct w:val="0"/>
              <w:autoSpaceDE w:val="0"/>
              <w:autoSpaceDN w:val="0"/>
              <w:bidi w:val="0"/>
              <w:adjustRightInd w:val="0"/>
              <w:spacing w:line="520" w:lineRule="exact"/>
              <w:jc w:val="lef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被授权人签字或盖章：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jc w:val="center"/>
        </w:trPr>
        <w:tc>
          <w:tcPr>
            <w:tcW w:w="10195" w:type="dxa"/>
            <w:gridSpan w:val="7"/>
            <w:tcBorders>
              <w:bottom w:val="single" w:color="auto" w:sz="4" w:space="0"/>
            </w:tcBorders>
            <w:vAlign w:val="center"/>
          </w:tcPr>
          <w:p>
            <w:pPr>
              <w:keepNext w:val="0"/>
              <w:keepLines w:val="0"/>
              <w:pageBreakBefore w:val="0"/>
              <w:widowControl w:val="0"/>
              <w:kinsoku/>
              <w:wordWrap/>
              <w:overflowPunct/>
              <w:topLinePunct w:val="0"/>
              <w:autoSpaceDE w:val="0"/>
              <w:autoSpaceDN w:val="0"/>
              <w:bidi w:val="0"/>
              <w:adjustRightInd w:val="0"/>
              <w:snapToGrid w:val="0"/>
              <w:spacing w:line="520" w:lineRule="exact"/>
              <w:textAlignment w:val="auto"/>
              <w:rPr>
                <w:rFonts w:hint="eastAsia" w:ascii="仿宋" w:hAnsi="仿宋" w:eastAsia="仿宋" w:cs="仿宋"/>
                <w:bCs/>
                <w:caps/>
                <w:color w:val="auto"/>
                <w:szCs w:val="24"/>
                <w:highlight w:val="none"/>
              </w:rPr>
            </w:pPr>
            <w:r>
              <w:rPr>
                <w:rFonts w:hint="eastAsia" w:ascii="仿宋" w:hAnsi="仿宋" w:eastAsia="仿宋" w:cs="仿宋"/>
                <w:bCs/>
                <w:caps/>
                <w:color w:val="auto"/>
                <w:szCs w:val="24"/>
                <w:highlight w:val="none"/>
              </w:rPr>
              <w:t>投标人名称：</w:t>
            </w:r>
            <w:r>
              <w:rPr>
                <w:rFonts w:hint="eastAsia" w:ascii="仿宋" w:hAnsi="仿宋" w:eastAsia="仿宋" w:cs="仿宋"/>
                <w:bCs/>
                <w:caps/>
                <w:color w:val="auto"/>
                <w:szCs w:val="24"/>
                <w:highlight w:val="none"/>
                <w:u w:val="single"/>
              </w:rPr>
              <w:t xml:space="preserve">             </w:t>
            </w:r>
            <w:r>
              <w:rPr>
                <w:rFonts w:hint="eastAsia" w:ascii="仿宋" w:hAnsi="仿宋" w:eastAsia="仿宋" w:cs="仿宋"/>
                <w:bCs/>
                <w:caps/>
                <w:color w:val="auto"/>
                <w:szCs w:val="24"/>
                <w:highlight w:val="none"/>
              </w:rPr>
              <w:t xml:space="preserve">（投标人单位公章）  </w:t>
            </w:r>
            <w:r>
              <w:rPr>
                <w:rFonts w:hint="eastAsia" w:ascii="仿宋" w:hAnsi="仿宋" w:eastAsia="仿宋" w:cs="仿宋"/>
                <w:bCs/>
                <w:caps/>
                <w:color w:val="auto"/>
                <w:szCs w:val="24"/>
                <w:highlight w:val="none"/>
                <w:lang w:val="en-US" w:eastAsia="zh-CN"/>
              </w:rPr>
              <w:t xml:space="preserve">              </w:t>
            </w:r>
            <w:r>
              <w:rPr>
                <w:rFonts w:hint="eastAsia" w:ascii="仿宋" w:hAnsi="仿宋" w:eastAsia="仿宋" w:cs="仿宋"/>
                <w:bCs/>
                <w:caps/>
                <w:color w:val="auto"/>
                <w:szCs w:val="24"/>
                <w:highlight w:val="none"/>
              </w:rPr>
              <w:t xml:space="preserve">   日 期：  </w:t>
            </w:r>
          </w:p>
        </w:tc>
      </w:tr>
      <w:bookmarkEnd w:id="150"/>
      <w:bookmarkEnd w:id="151"/>
      <w:bookmarkEnd w:id="152"/>
      <w:bookmarkEnd w:id="153"/>
      <w:bookmarkEnd w:id="154"/>
      <w:bookmarkEnd w:id="155"/>
      <w:bookmarkEnd w:id="156"/>
      <w:bookmarkEnd w:id="157"/>
      <w:bookmarkEnd w:id="158"/>
      <w:bookmarkEnd w:id="159"/>
    </w:tbl>
    <w:p>
      <w:pPr>
        <w:pStyle w:val="36"/>
        <w:spacing w:line="560" w:lineRule="exact"/>
        <w:ind w:firstLine="0" w:firstLineChars="0"/>
        <w:jc w:val="center"/>
        <w:rPr>
          <w:rFonts w:hint="eastAsia" w:ascii="仿宋" w:hAnsi="仿宋" w:eastAsia="仿宋" w:cs="仿宋"/>
          <w:b/>
          <w:color w:val="auto"/>
          <w:highlight w:val="none"/>
          <w:u w:val="none"/>
        </w:rPr>
      </w:pPr>
      <w:r>
        <w:rPr>
          <w:rFonts w:hint="eastAsia" w:ascii="仿宋" w:hAnsi="仿宋" w:eastAsia="仿宋" w:cs="仿宋"/>
          <w:color w:val="auto"/>
          <w:kern w:val="0"/>
          <w:sz w:val="24"/>
          <w:highlight w:val="none"/>
          <w:u w:val="none"/>
        </w:rPr>
        <w:t>（</w:t>
      </w:r>
      <w:r>
        <w:rPr>
          <w:rFonts w:hint="eastAsia" w:ascii="仿宋" w:hAnsi="仿宋" w:eastAsia="仿宋" w:cs="仿宋"/>
          <w:color w:val="auto"/>
          <w:kern w:val="0"/>
          <w:sz w:val="24"/>
          <w:highlight w:val="none"/>
          <w:u w:val="none"/>
          <w:lang w:eastAsia="zh-CN"/>
        </w:rPr>
        <w:t>被授权人投标时</w:t>
      </w:r>
      <w:r>
        <w:rPr>
          <w:rFonts w:hint="eastAsia" w:ascii="仿宋" w:hAnsi="仿宋" w:eastAsia="仿宋" w:cs="仿宋"/>
          <w:color w:val="auto"/>
          <w:kern w:val="0"/>
          <w:sz w:val="24"/>
          <w:highlight w:val="none"/>
          <w:u w:val="none"/>
        </w:rPr>
        <w:t>，须提供</w:t>
      </w:r>
      <w:r>
        <w:rPr>
          <w:rFonts w:hint="eastAsia" w:ascii="仿宋" w:hAnsi="仿宋" w:eastAsia="仿宋" w:cs="仿宋"/>
          <w:color w:val="auto"/>
          <w:kern w:val="0"/>
          <w:sz w:val="24"/>
          <w:highlight w:val="none"/>
          <w:u w:val="none"/>
          <w:lang w:eastAsia="zh-CN"/>
        </w:rPr>
        <w:t>法定代表人授权委托书</w:t>
      </w:r>
      <w:r>
        <w:rPr>
          <w:rFonts w:hint="eastAsia" w:ascii="仿宋" w:hAnsi="仿宋" w:eastAsia="仿宋" w:cs="仿宋"/>
          <w:color w:val="auto"/>
          <w:kern w:val="0"/>
          <w:sz w:val="24"/>
          <w:highlight w:val="none"/>
          <w:u w:val="none"/>
        </w:rPr>
        <w:t>及</w:t>
      </w:r>
      <w:r>
        <w:rPr>
          <w:rFonts w:hint="eastAsia" w:ascii="仿宋" w:hAnsi="仿宋" w:eastAsia="仿宋" w:cs="仿宋"/>
          <w:color w:val="auto"/>
          <w:kern w:val="0"/>
          <w:sz w:val="24"/>
          <w:highlight w:val="none"/>
          <w:u w:val="none"/>
          <w:lang w:eastAsia="zh-CN"/>
        </w:rPr>
        <w:t>被授权人身份证</w:t>
      </w:r>
      <w:r>
        <w:rPr>
          <w:rFonts w:hint="eastAsia" w:ascii="仿宋" w:hAnsi="仿宋" w:eastAsia="仿宋" w:cs="仿宋"/>
          <w:color w:val="auto"/>
          <w:kern w:val="0"/>
          <w:sz w:val="24"/>
          <w:highlight w:val="none"/>
          <w:u w:val="none"/>
        </w:rPr>
        <w:t>原件）</w:t>
      </w:r>
    </w:p>
    <w:p>
      <w:pPr>
        <w:pStyle w:val="2"/>
        <w:spacing w:line="560" w:lineRule="exact"/>
        <w:rPr>
          <w:rFonts w:hint="eastAsia" w:ascii="仿宋" w:hAnsi="仿宋" w:eastAsia="仿宋" w:cs="仿宋"/>
          <w:color w:val="auto"/>
          <w:szCs w:val="24"/>
          <w:highlight w:val="none"/>
        </w:rPr>
      </w:pPr>
      <w:r>
        <w:rPr>
          <w:rFonts w:hint="eastAsia" w:ascii="仿宋" w:hAnsi="仿宋" w:eastAsia="仿宋" w:cs="仿宋"/>
          <w:color w:val="auto"/>
          <w:szCs w:val="24"/>
          <w:highlight w:val="none"/>
        </w:rPr>
        <w:t xml:space="preserve">  </w:t>
      </w:r>
    </w:p>
    <w:p>
      <w:pPr>
        <w:rPr>
          <w:rFonts w:hint="eastAsia" w:ascii="仿宋" w:hAnsi="仿宋" w:eastAsia="仿宋" w:cs="仿宋"/>
          <w:color w:val="auto"/>
          <w:szCs w:val="24"/>
          <w:highlight w:val="none"/>
        </w:rPr>
      </w:pPr>
    </w:p>
    <w:p>
      <w:pPr>
        <w:pStyle w:val="36"/>
        <w:spacing w:line="560" w:lineRule="exact"/>
        <w:ind w:left="0" w:leftChars="0" w:firstLine="0" w:firstLineChars="0"/>
        <w:rPr>
          <w:rFonts w:hint="eastAsia" w:ascii="仿宋" w:hAnsi="仿宋" w:eastAsia="仿宋" w:cs="仿宋"/>
          <w:b/>
          <w:color w:val="auto"/>
          <w:sz w:val="20"/>
          <w:szCs w:val="16"/>
          <w:highlight w:val="none"/>
        </w:rPr>
      </w:pPr>
      <w:r>
        <w:rPr>
          <w:rFonts w:hint="eastAsia" w:ascii="仿宋" w:hAnsi="仿宋" w:eastAsia="仿宋" w:cs="仿宋"/>
          <w:b/>
          <w:color w:val="auto"/>
          <w:highlight w:val="none"/>
          <w:lang w:val="en-US" w:eastAsia="zh-CN"/>
        </w:rPr>
        <w:t>7</w:t>
      </w:r>
      <w:r>
        <w:rPr>
          <w:rFonts w:hint="eastAsia" w:ascii="仿宋" w:hAnsi="仿宋" w:eastAsia="仿宋" w:cs="仿宋"/>
          <w:b/>
          <w:color w:val="auto"/>
          <w:highlight w:val="none"/>
        </w:rPr>
        <w:t>.20</w:t>
      </w:r>
      <w:r>
        <w:rPr>
          <w:rFonts w:hint="eastAsia" w:ascii="仿宋" w:hAnsi="仿宋" w:eastAsia="仿宋" w:cs="仿宋"/>
          <w:b/>
          <w:color w:val="auto"/>
          <w:highlight w:val="none"/>
          <w:lang w:val="en-US" w:eastAsia="zh-CN"/>
        </w:rPr>
        <w:t>20</w:t>
      </w:r>
      <w:r>
        <w:rPr>
          <w:rFonts w:hint="eastAsia" w:ascii="仿宋" w:hAnsi="仿宋" w:eastAsia="仿宋" w:cs="仿宋"/>
          <w:b/>
          <w:color w:val="auto"/>
          <w:highlight w:val="none"/>
        </w:rPr>
        <w:t>年1月</w:t>
      </w:r>
      <w:r>
        <w:rPr>
          <w:rFonts w:hint="eastAsia" w:ascii="仿宋" w:hAnsi="仿宋" w:eastAsia="仿宋" w:cs="仿宋"/>
          <w:b/>
          <w:color w:val="auto"/>
          <w:highlight w:val="none"/>
          <w:lang w:val="en-US" w:eastAsia="zh-CN"/>
        </w:rPr>
        <w:t>1日</w:t>
      </w:r>
      <w:r>
        <w:rPr>
          <w:rFonts w:hint="eastAsia" w:ascii="仿宋" w:hAnsi="仿宋" w:eastAsia="仿宋" w:cs="仿宋"/>
          <w:b/>
          <w:color w:val="auto"/>
          <w:highlight w:val="none"/>
        </w:rPr>
        <w:t>至今类似项目业绩</w:t>
      </w:r>
      <w:bookmarkStart w:id="160" w:name="_Toc188808842"/>
      <w:bookmarkStart w:id="161" w:name="_Toc193126891"/>
      <w:r>
        <w:rPr>
          <w:rFonts w:hint="eastAsia" w:ascii="仿宋" w:hAnsi="仿宋" w:eastAsia="仿宋" w:cs="仿宋"/>
          <w:b/>
          <w:color w:val="auto"/>
          <w:highlight w:val="none"/>
        </w:rPr>
        <w:t>（以合同为准</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复印件加盖公章</w:t>
      </w:r>
      <w:r>
        <w:rPr>
          <w:rFonts w:hint="eastAsia" w:ascii="仿宋" w:hAnsi="仿宋" w:eastAsia="仿宋" w:cs="仿宋"/>
          <w:b/>
          <w:color w:val="auto"/>
          <w:highlight w:val="none"/>
        </w:rPr>
        <w:t>）</w:t>
      </w:r>
    </w:p>
    <w:p>
      <w:pPr>
        <w:pStyle w:val="36"/>
        <w:spacing w:line="560" w:lineRule="exact"/>
        <w:ind w:firstLine="0" w:firstLineChars="0"/>
        <w:rPr>
          <w:rFonts w:hint="eastAsia" w:ascii="仿宋" w:hAnsi="仿宋" w:eastAsia="仿宋" w:cs="仿宋"/>
          <w:b/>
          <w:color w:val="auto"/>
          <w:szCs w:val="28"/>
          <w:highlight w:val="none"/>
        </w:rPr>
      </w:pPr>
      <w:bookmarkStart w:id="162" w:name="_Toc14386"/>
      <w:bookmarkStart w:id="163" w:name="_Toc458617479"/>
      <w:bookmarkStart w:id="164" w:name="_Toc937"/>
    </w:p>
    <w:p>
      <w:pPr>
        <w:pStyle w:val="36"/>
        <w:spacing w:line="560" w:lineRule="exact"/>
        <w:ind w:firstLine="0" w:firstLineChars="0"/>
        <w:rPr>
          <w:rFonts w:hint="eastAsia" w:ascii="仿宋" w:hAnsi="仿宋" w:eastAsia="仿宋" w:cs="仿宋"/>
          <w:b/>
          <w:color w:val="auto"/>
          <w:szCs w:val="28"/>
          <w:highlight w:val="none"/>
        </w:rPr>
      </w:pPr>
    </w:p>
    <w:p>
      <w:pPr>
        <w:pStyle w:val="36"/>
        <w:spacing w:line="560" w:lineRule="exact"/>
        <w:ind w:firstLine="0" w:firstLineChars="0"/>
        <w:rPr>
          <w:rFonts w:hint="eastAsia" w:ascii="仿宋" w:hAnsi="仿宋" w:eastAsia="仿宋" w:cs="仿宋"/>
          <w:b/>
          <w:color w:val="auto"/>
          <w:szCs w:val="28"/>
          <w:highlight w:val="none"/>
        </w:rPr>
      </w:pPr>
    </w:p>
    <w:bookmarkEnd w:id="162"/>
    <w:bookmarkEnd w:id="163"/>
    <w:bookmarkEnd w:id="164"/>
    <w:p>
      <w:pPr>
        <w:spacing w:line="560" w:lineRule="exact"/>
        <w:rPr>
          <w:rFonts w:hint="eastAsia" w:ascii="仿宋" w:hAnsi="仿宋" w:eastAsia="仿宋" w:cs="仿宋"/>
          <w:b/>
          <w:bCs/>
          <w:color w:val="auto"/>
          <w:sz w:val="28"/>
          <w:szCs w:val="28"/>
          <w:highlight w:val="none"/>
        </w:rPr>
      </w:pPr>
      <w:bookmarkStart w:id="165" w:name="_Toc193187107"/>
      <w:bookmarkStart w:id="166" w:name="_Toc194663938"/>
      <w:bookmarkStart w:id="167" w:name="_Toc193126901"/>
      <w:bookmarkStart w:id="168" w:name="_Toc23774"/>
      <w:bookmarkStart w:id="169" w:name="_Toc23126"/>
      <w:bookmarkStart w:id="170" w:name="_Toc458617480"/>
    </w:p>
    <w:p>
      <w:pPr>
        <w:pStyle w:val="2"/>
        <w:rPr>
          <w:rFonts w:hint="eastAsia" w:ascii="仿宋" w:hAnsi="仿宋" w:eastAsia="仿宋" w:cs="仿宋"/>
          <w:color w:val="auto"/>
          <w:highlight w:val="none"/>
        </w:rPr>
      </w:pPr>
    </w:p>
    <w:p>
      <w:pPr>
        <w:pStyle w:val="36"/>
        <w:spacing w:line="560" w:lineRule="exact"/>
        <w:ind w:firstLineChars="71"/>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lang w:eastAsia="zh-CN"/>
        </w:rPr>
      </w:pPr>
      <w:r>
        <w:rPr>
          <w:rFonts w:hint="eastAsia" w:ascii="仿宋" w:hAnsi="仿宋" w:eastAsia="仿宋" w:cs="仿宋"/>
          <w:b/>
          <w:color w:val="auto"/>
          <w:highlight w:val="none"/>
          <w:lang w:val="en-US" w:eastAsia="zh-CN"/>
        </w:rPr>
        <w:t>8</w:t>
      </w:r>
      <w:r>
        <w:rPr>
          <w:rFonts w:hint="eastAsia" w:ascii="仿宋" w:hAnsi="仿宋" w:eastAsia="仿宋" w:cs="仿宋"/>
          <w:b/>
          <w:color w:val="auto"/>
          <w:highlight w:val="none"/>
        </w:rPr>
        <w:t>.</w:t>
      </w:r>
      <w:bookmarkEnd w:id="165"/>
      <w:bookmarkEnd w:id="166"/>
      <w:bookmarkEnd w:id="167"/>
      <w:r>
        <w:rPr>
          <w:rFonts w:hint="eastAsia" w:ascii="仿宋" w:hAnsi="仿宋" w:eastAsia="仿宋" w:cs="仿宋"/>
          <w:b/>
          <w:color w:val="auto"/>
          <w:highlight w:val="none"/>
          <w:lang w:val="en-US" w:eastAsia="zh-CN"/>
        </w:rPr>
        <w:t>服务</w:t>
      </w:r>
      <w:r>
        <w:rPr>
          <w:rFonts w:hint="eastAsia" w:ascii="仿宋" w:hAnsi="仿宋" w:eastAsia="仿宋" w:cs="仿宋"/>
          <w:b/>
          <w:color w:val="auto"/>
          <w:highlight w:val="none"/>
        </w:rPr>
        <w:t>方案</w:t>
      </w:r>
      <w:r>
        <w:rPr>
          <w:rFonts w:hint="eastAsia" w:ascii="仿宋" w:hAnsi="仿宋" w:eastAsia="仿宋" w:cs="仿宋"/>
          <w:b/>
          <w:color w:val="auto"/>
          <w:highlight w:val="none"/>
          <w:lang w:eastAsia="zh-CN"/>
        </w:rPr>
        <w:t>（</w:t>
      </w:r>
      <w:r>
        <w:rPr>
          <w:rFonts w:hint="eastAsia" w:ascii="仿宋" w:hAnsi="仿宋" w:eastAsia="仿宋" w:cs="仿宋"/>
          <w:b/>
          <w:color w:val="auto"/>
          <w:highlight w:val="none"/>
          <w:lang w:val="en-US" w:eastAsia="zh-CN"/>
        </w:rPr>
        <w:t>格式</w:t>
      </w:r>
      <w:r>
        <w:rPr>
          <w:rFonts w:hint="eastAsia" w:ascii="仿宋" w:hAnsi="仿宋" w:eastAsia="仿宋" w:cs="仿宋"/>
          <w:b/>
          <w:color w:val="auto"/>
          <w:highlight w:val="none"/>
          <w:lang w:eastAsia="zh-CN"/>
        </w:rPr>
        <w:t>）</w:t>
      </w:r>
    </w:p>
    <w:bookmarkEnd w:id="168"/>
    <w:bookmarkEnd w:id="169"/>
    <w:bookmarkEnd w:id="170"/>
    <w:p>
      <w:pPr>
        <w:pStyle w:val="36"/>
        <w:spacing w:line="560" w:lineRule="exact"/>
        <w:ind w:firstLineChars="71"/>
        <w:rPr>
          <w:rFonts w:hint="eastAsia" w:ascii="仿宋" w:hAnsi="仿宋" w:eastAsia="仿宋" w:cs="仿宋"/>
          <w:b/>
          <w:color w:val="auto"/>
          <w:szCs w:val="28"/>
          <w:highlight w:val="none"/>
        </w:rPr>
      </w:pPr>
      <w:bookmarkStart w:id="171" w:name="_Toc194663939"/>
      <w:bookmarkStart w:id="172" w:name="_Toc193126902"/>
      <w:bookmarkStart w:id="173" w:name="_Toc188808852"/>
      <w:bookmarkStart w:id="174" w:name="_Toc193187108"/>
    </w:p>
    <w:p>
      <w:pPr>
        <w:pStyle w:val="36"/>
        <w:spacing w:line="560" w:lineRule="exact"/>
        <w:ind w:firstLineChars="71"/>
        <w:rPr>
          <w:rFonts w:hint="eastAsia" w:ascii="仿宋" w:hAnsi="仿宋" w:eastAsia="仿宋" w:cs="仿宋"/>
          <w:b/>
          <w:color w:val="auto"/>
          <w:szCs w:val="28"/>
          <w:highlight w:val="none"/>
        </w:rPr>
      </w:pPr>
    </w:p>
    <w:p>
      <w:pPr>
        <w:pStyle w:val="36"/>
        <w:spacing w:line="560" w:lineRule="exact"/>
        <w:ind w:left="0" w:leftChars="0" w:firstLine="0" w:firstLineChars="0"/>
        <w:rPr>
          <w:rFonts w:hint="eastAsia" w:ascii="仿宋" w:hAnsi="仿宋" w:eastAsia="仿宋" w:cs="仿宋"/>
          <w:b/>
          <w:color w:val="auto"/>
          <w:szCs w:val="28"/>
          <w:highlight w:val="none"/>
        </w:rPr>
      </w:pPr>
    </w:p>
    <w:p>
      <w:pPr>
        <w:pStyle w:val="36"/>
        <w:spacing w:line="560" w:lineRule="exact"/>
        <w:ind w:firstLineChars="71"/>
        <w:rPr>
          <w:rFonts w:hint="eastAsia" w:ascii="仿宋" w:hAnsi="仿宋" w:eastAsia="仿宋" w:cs="仿宋"/>
          <w:b/>
          <w:color w:val="auto"/>
          <w:szCs w:val="28"/>
          <w:highlight w:val="none"/>
        </w:rPr>
      </w:pPr>
    </w:p>
    <w:p>
      <w:pPr>
        <w:pStyle w:val="36"/>
        <w:spacing w:line="560" w:lineRule="exact"/>
        <w:ind w:left="0" w:leftChars="0" w:firstLine="0" w:firstLineChars="0"/>
        <w:rPr>
          <w:rFonts w:hint="eastAsia" w:ascii="仿宋" w:hAnsi="仿宋" w:eastAsia="仿宋" w:cs="仿宋"/>
          <w:b/>
          <w:color w:val="auto"/>
          <w:szCs w:val="28"/>
          <w:highlight w:val="none"/>
          <w:lang w:val="en-US" w:eastAsia="zh-CN"/>
        </w:rPr>
      </w:pPr>
      <w:bookmarkStart w:id="175" w:name="_Toc17505"/>
      <w:bookmarkStart w:id="176" w:name="_Toc458617481"/>
      <w:bookmarkStart w:id="177" w:name="_Toc8306"/>
    </w:p>
    <w:p>
      <w:pPr>
        <w:pStyle w:val="36"/>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color w:val="auto"/>
          <w:szCs w:val="28"/>
          <w:highlight w:val="none"/>
          <w:lang w:val="en-US" w:eastAsia="zh-CN"/>
        </w:rPr>
        <w:t>9</w:t>
      </w:r>
      <w:r>
        <w:rPr>
          <w:rFonts w:hint="eastAsia" w:ascii="仿宋" w:hAnsi="仿宋" w:eastAsia="仿宋" w:cs="仿宋"/>
          <w:b/>
          <w:color w:val="auto"/>
          <w:highlight w:val="none"/>
        </w:rPr>
        <w:t>.</w:t>
      </w:r>
      <w:bookmarkEnd w:id="171"/>
      <w:bookmarkEnd w:id="172"/>
      <w:bookmarkEnd w:id="173"/>
      <w:bookmarkEnd w:id="174"/>
      <w:bookmarkEnd w:id="175"/>
      <w:bookmarkEnd w:id="176"/>
      <w:bookmarkEnd w:id="177"/>
      <w:bookmarkStart w:id="178" w:name="_Toc194663941"/>
      <w:bookmarkStart w:id="179" w:name="_Toc193126904"/>
      <w:bookmarkStart w:id="180" w:name="_Toc21757"/>
      <w:bookmarkStart w:id="181" w:name="_Toc458617482"/>
      <w:bookmarkStart w:id="182" w:name="_Toc188808854"/>
      <w:bookmarkStart w:id="183" w:name="_Toc193187110"/>
      <w:bookmarkStart w:id="184" w:name="_Toc2456"/>
      <w:r>
        <w:rPr>
          <w:rFonts w:hint="eastAsia" w:ascii="仿宋" w:hAnsi="仿宋" w:eastAsia="仿宋" w:cs="仿宋"/>
          <w:b/>
          <w:color w:val="auto"/>
          <w:highlight w:val="none"/>
        </w:rPr>
        <w:t>售后服务</w:t>
      </w:r>
      <w:bookmarkEnd w:id="178"/>
      <w:bookmarkEnd w:id="179"/>
      <w:bookmarkEnd w:id="180"/>
      <w:bookmarkEnd w:id="181"/>
      <w:bookmarkEnd w:id="182"/>
      <w:bookmarkEnd w:id="183"/>
      <w:bookmarkEnd w:id="184"/>
      <w:bookmarkStart w:id="185" w:name="_Toc193126905"/>
      <w:bookmarkStart w:id="186" w:name="_Toc193187111"/>
      <w:bookmarkStart w:id="187" w:name="_Toc194663942"/>
      <w:bookmarkStart w:id="188" w:name="_Toc188808855"/>
      <w:r>
        <w:rPr>
          <w:rFonts w:hint="eastAsia" w:ascii="仿宋" w:hAnsi="仿宋" w:eastAsia="仿宋" w:cs="仿宋"/>
          <w:b/>
          <w:color w:val="auto"/>
          <w:highlight w:val="none"/>
          <w:lang w:val="en-US" w:eastAsia="zh-CN"/>
        </w:rPr>
        <w:t>承诺（格式）</w:t>
      </w:r>
    </w:p>
    <w:p>
      <w:pPr>
        <w:pStyle w:val="36"/>
        <w:spacing w:line="560" w:lineRule="exact"/>
        <w:ind w:firstLine="0" w:firstLineChars="0"/>
        <w:rPr>
          <w:rFonts w:hint="eastAsia" w:ascii="仿宋" w:hAnsi="仿宋" w:eastAsia="仿宋" w:cs="仿宋"/>
          <w:b/>
          <w:color w:val="auto"/>
          <w:highlight w:val="none"/>
        </w:rPr>
      </w:pPr>
      <w:bookmarkStart w:id="189" w:name="_Toc6949"/>
      <w:bookmarkStart w:id="190" w:name="_Toc458617484"/>
      <w:bookmarkStart w:id="191" w:name="_Toc27682"/>
    </w:p>
    <w:p>
      <w:pPr>
        <w:pStyle w:val="36"/>
        <w:spacing w:line="560" w:lineRule="exact"/>
        <w:ind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
          <w:color w:val="auto"/>
          <w:highlight w:val="none"/>
        </w:rPr>
      </w:pPr>
    </w:p>
    <w:p>
      <w:pPr>
        <w:pStyle w:val="36"/>
        <w:spacing w:line="560" w:lineRule="exact"/>
        <w:ind w:left="0" w:leftChars="0" w:firstLine="0" w:firstLineChars="0"/>
        <w:rPr>
          <w:rFonts w:hint="eastAsia" w:ascii="仿宋" w:hAnsi="仿宋" w:eastAsia="仿宋" w:cs="仿宋"/>
          <w:bCs/>
          <w:color w:val="auto"/>
          <w:sz w:val="24"/>
          <w:szCs w:val="21"/>
          <w:highlight w:val="none"/>
        </w:rPr>
      </w:pPr>
      <w:r>
        <w:rPr>
          <w:rFonts w:hint="eastAsia" w:ascii="仿宋" w:hAnsi="仿宋" w:eastAsia="仿宋" w:cs="仿宋"/>
          <w:b/>
          <w:color w:val="auto"/>
          <w:highlight w:val="none"/>
        </w:rPr>
        <w:t>1</w:t>
      </w:r>
      <w:r>
        <w:rPr>
          <w:rFonts w:hint="eastAsia" w:ascii="仿宋" w:hAnsi="仿宋" w:eastAsia="仿宋" w:cs="仿宋"/>
          <w:b/>
          <w:color w:val="auto"/>
          <w:highlight w:val="none"/>
          <w:lang w:val="en-US" w:eastAsia="zh-CN"/>
        </w:rPr>
        <w:t>0</w:t>
      </w:r>
      <w:r>
        <w:rPr>
          <w:rFonts w:hint="eastAsia" w:ascii="仿宋" w:hAnsi="仿宋" w:eastAsia="仿宋" w:cs="仿宋"/>
          <w:b/>
          <w:color w:val="auto"/>
          <w:highlight w:val="none"/>
        </w:rPr>
        <w:t>.投标人认为有必要补充说明的事宜</w:t>
      </w:r>
      <w:bookmarkEnd w:id="189"/>
      <w:bookmarkEnd w:id="190"/>
      <w:bookmarkEnd w:id="191"/>
      <w:r>
        <w:rPr>
          <w:rFonts w:hint="eastAsia" w:ascii="仿宋" w:hAnsi="仿宋" w:eastAsia="仿宋" w:cs="仿宋"/>
          <w:bCs/>
          <w:color w:val="auto"/>
          <w:sz w:val="24"/>
          <w:szCs w:val="21"/>
          <w:highlight w:val="none"/>
        </w:rPr>
        <w:t>（若有）</w:t>
      </w:r>
    </w:p>
    <w:p>
      <w:pP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br w:type="page"/>
      </w:r>
    </w:p>
    <w:p>
      <w:pPr>
        <w:pStyle w:val="36"/>
        <w:spacing w:line="560" w:lineRule="exact"/>
        <w:ind w:left="0" w:leftChars="0" w:firstLine="0" w:firstLineChars="0"/>
        <w:rPr>
          <w:rFonts w:hint="eastAsia" w:ascii="仿宋" w:hAnsi="仿宋" w:eastAsia="仿宋" w:cs="仿宋"/>
          <w:b/>
          <w:color w:val="auto"/>
          <w:highlight w:val="none"/>
        </w:rPr>
      </w:pPr>
      <w:r>
        <w:rPr>
          <w:rFonts w:hint="eastAsia" w:ascii="仿宋" w:hAnsi="仿宋" w:eastAsia="仿宋" w:cs="仿宋"/>
          <w:b/>
          <w:bCs/>
          <w:color w:val="auto"/>
          <w:szCs w:val="28"/>
          <w:highlight w:val="none"/>
        </w:rPr>
        <w:t>1</w:t>
      </w:r>
      <w:r>
        <w:rPr>
          <w:rFonts w:hint="eastAsia" w:ascii="仿宋" w:hAnsi="仿宋" w:eastAsia="仿宋" w:cs="仿宋"/>
          <w:b/>
          <w:bCs/>
          <w:color w:val="auto"/>
          <w:szCs w:val="28"/>
          <w:highlight w:val="none"/>
          <w:lang w:val="en-US" w:eastAsia="zh-CN"/>
        </w:rPr>
        <w:t>1</w:t>
      </w:r>
      <w:r>
        <w:rPr>
          <w:rFonts w:hint="eastAsia" w:ascii="仿宋" w:hAnsi="仿宋" w:eastAsia="仿宋" w:cs="仿宋"/>
          <w:b/>
          <w:bCs/>
          <w:color w:val="auto"/>
          <w:szCs w:val="28"/>
          <w:highlight w:val="none"/>
        </w:rPr>
        <w:t>.</w:t>
      </w:r>
      <w:bookmarkEnd w:id="185"/>
      <w:bookmarkEnd w:id="186"/>
      <w:bookmarkEnd w:id="187"/>
      <w:bookmarkEnd w:id="188"/>
      <w:bookmarkStart w:id="192" w:name="_Toc6831"/>
      <w:bookmarkStart w:id="193" w:name="_Toc31350"/>
      <w:r>
        <w:rPr>
          <w:rFonts w:hint="eastAsia" w:ascii="仿宋" w:hAnsi="仿宋" w:eastAsia="仿宋" w:cs="仿宋"/>
          <w:b/>
          <w:bCs/>
          <w:color w:val="auto"/>
          <w:szCs w:val="28"/>
          <w:highlight w:val="none"/>
          <w:lang w:eastAsia="zh-CN"/>
        </w:rPr>
        <w:t>投标人承诺书</w:t>
      </w:r>
      <w:r>
        <w:rPr>
          <w:rFonts w:hint="eastAsia" w:ascii="仿宋" w:hAnsi="仿宋" w:eastAsia="仿宋" w:cs="仿宋"/>
          <w:b/>
          <w:color w:val="auto"/>
          <w:highlight w:val="none"/>
        </w:rPr>
        <w:t> </w:t>
      </w:r>
      <w:bookmarkEnd w:id="192"/>
      <w:bookmarkEnd w:id="193"/>
    </w:p>
    <w:p>
      <w:pPr>
        <w:widowControl/>
        <w:spacing w:line="560" w:lineRule="exact"/>
        <w:rPr>
          <w:rFonts w:hint="eastAsia" w:ascii="仿宋" w:hAnsi="仿宋" w:eastAsia="仿宋" w:cs="仿宋"/>
          <w:b/>
          <w:bCs/>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line="560" w:lineRule="exact"/>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32"/>
          <w:szCs w:val="32"/>
          <w:highlight w:val="none"/>
        </w:rPr>
        <w:t xml:space="preserve">                   </w:t>
      </w:r>
      <w:r>
        <w:rPr>
          <w:rFonts w:hint="eastAsia" w:ascii="仿宋" w:hAnsi="仿宋" w:eastAsia="仿宋" w:cs="仿宋"/>
          <w:b/>
          <w:bCs/>
          <w:color w:val="auto"/>
          <w:kern w:val="0"/>
          <w:sz w:val="30"/>
          <w:szCs w:val="30"/>
          <w:highlight w:val="none"/>
        </w:rPr>
        <w:t xml:space="preserve"> </w:t>
      </w:r>
      <w:r>
        <w:rPr>
          <w:rFonts w:hint="eastAsia" w:ascii="仿宋" w:hAnsi="仿宋" w:eastAsia="仿宋" w:cs="仿宋"/>
          <w:b/>
          <w:bCs/>
          <w:color w:val="auto"/>
          <w:kern w:val="0"/>
          <w:sz w:val="28"/>
          <w:szCs w:val="28"/>
          <w:highlight w:val="none"/>
        </w:rPr>
        <w:t>陕西省政府采购投标人</w:t>
      </w:r>
    </w:p>
    <w:p>
      <w:pPr>
        <w:keepNext w:val="0"/>
        <w:keepLines w:val="0"/>
        <w:pageBreakBefore w:val="0"/>
        <w:widowControl/>
        <w:kinsoku/>
        <w:wordWrap/>
        <w:overflowPunct/>
        <w:topLinePunct w:val="0"/>
        <w:autoSpaceDE/>
        <w:autoSpaceDN/>
        <w:bidi w:val="0"/>
        <w:adjustRightInd/>
        <w:snapToGrid/>
        <w:spacing w:line="560" w:lineRule="exact"/>
        <w:jc w:val="center"/>
        <w:textAlignment w:val="auto"/>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拒绝政府采购领域商业贿赂承诺书Ⅰ</w:t>
      </w:r>
    </w:p>
    <w:p>
      <w:pPr>
        <w:keepNext w:val="0"/>
        <w:keepLines w:val="0"/>
        <w:pageBreakBefore w:val="0"/>
        <w:widowControl/>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color w:val="auto"/>
          <w:kern w:val="0"/>
          <w:highlight w:val="none"/>
        </w:rPr>
      </w:pP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为响应党中央、国务院关于治理政府采购领域商业贿赂行为的号召，</w:t>
      </w:r>
      <w:r>
        <w:rPr>
          <w:rFonts w:hint="eastAsia" w:ascii="仿宋" w:hAnsi="仿宋" w:eastAsia="仿宋" w:cs="仿宋"/>
          <w:color w:val="auto"/>
          <w:kern w:val="0"/>
          <w:highlight w:val="none"/>
        </w:rPr>
        <w:t xml:space="preserve">我单位作为     </w:t>
      </w:r>
      <w:r>
        <w:rPr>
          <w:rFonts w:hint="eastAsia" w:ascii="仿宋" w:hAnsi="仿宋" w:eastAsia="仿宋" w:cs="仿宋"/>
          <w:color w:val="auto"/>
          <w:kern w:val="0"/>
          <w:highlight w:val="none"/>
          <w:u w:val="single"/>
        </w:rPr>
        <w:t xml:space="preserve">（项目名称）         </w:t>
      </w:r>
      <w:r>
        <w:rPr>
          <w:rFonts w:hint="eastAsia" w:ascii="仿宋" w:hAnsi="仿宋" w:eastAsia="仿宋" w:cs="仿宋"/>
          <w:color w:val="auto"/>
          <w:kern w:val="0"/>
          <w:highlight w:val="none"/>
        </w:rPr>
        <w:t xml:space="preserve"> 的投标人，</w:t>
      </w:r>
      <w:r>
        <w:rPr>
          <w:rFonts w:hint="eastAsia" w:ascii="仿宋" w:hAnsi="仿宋" w:eastAsia="仿宋" w:cs="仿宋"/>
          <w:color w:val="auto"/>
          <w:kern w:val="0"/>
          <w:szCs w:val="24"/>
          <w:highlight w:val="none"/>
        </w:rPr>
        <w:t xml:space="preserve">在此庄严承诺：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1、在参与政府采购活动中遵纪守法、诚信经营、公平竞标。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2、不向采购人、采购代理机构和政府采购评审专家进行任何形式的商业贿赂以谋取交易机会。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3、不向政府采购采购代理机构和采购人提供虚假资质文件或采用虚假应标方式参与政府采购市场竞争并谋取中标、成交。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4、不采取“围标、陪标”等商业欺诈手段获得政府采购定单。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5、不采取不正当手段低毁、排挤其他投标人。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6、不在提供商品和服务时“偷梁换柱、以次充好”损害采购人的合法权益。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7、不与采购人、采购代理机构政府采购评审专家或其它投标人恶意串通，进行质疑和投诉，维护政府采购市场秩序。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8、尊重和接受政府采购监督管理部门的监督和政府采购代理机构招标要求，承担因违约行为给采购人造成的损失。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9、不发生其他有悖于政府采购公开、公平、公正和诚信原则的行为。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p>
    <w:p>
      <w:pP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br w:type="page"/>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承诺单位：</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（盖章） </w:t>
      </w:r>
      <w:r>
        <w:rPr>
          <w:rFonts w:hint="eastAsia" w:ascii="仿宋" w:hAnsi="仿宋" w:eastAsia="仿宋" w:cs="仿宋"/>
          <w:color w:val="auto"/>
          <w:kern w:val="0"/>
          <w:szCs w:val="24"/>
          <w:highlight w:val="none"/>
        </w:rPr>
        <w:br w:type="textWrapping"/>
      </w:r>
      <w:r>
        <w:rPr>
          <w:rFonts w:hint="eastAsia" w:ascii="仿宋" w:hAnsi="仿宋" w:eastAsia="仿宋" w:cs="仿宋"/>
          <w:color w:val="auto"/>
          <w:kern w:val="0"/>
          <w:szCs w:val="24"/>
          <w:highlight w:val="none"/>
        </w:rPr>
        <w:t xml:space="preserve"> </w:t>
      </w:r>
      <w:r>
        <w:rPr>
          <w:rFonts w:hint="eastAsia" w:ascii="仿宋" w:hAnsi="仿宋" w:eastAsia="仿宋" w:cs="仿宋"/>
          <w:color w:val="auto"/>
          <w:kern w:val="0"/>
          <w:szCs w:val="24"/>
          <w:highlight w:val="none"/>
          <w:lang w:val="en-US" w:eastAsia="zh-CN"/>
        </w:rPr>
        <w:t xml:space="preserve"> </w:t>
      </w:r>
      <w:r>
        <w:rPr>
          <w:rFonts w:hint="eastAsia" w:ascii="仿宋" w:hAnsi="仿宋" w:eastAsia="仿宋" w:cs="仿宋"/>
          <w:color w:val="auto"/>
          <w:kern w:val="0"/>
          <w:szCs w:val="24"/>
          <w:highlight w:val="none"/>
        </w:rPr>
        <w:t>全权代表：</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（签字） </w:t>
      </w:r>
    </w:p>
    <w:p>
      <w:pPr>
        <w:keepNext w:val="0"/>
        <w:keepLines w:val="0"/>
        <w:pageBreakBefore w:val="0"/>
        <w:widowControl/>
        <w:kinsoku/>
        <w:wordWrap/>
        <w:overflowPunct/>
        <w:topLinePunct w:val="0"/>
        <w:autoSpaceDE/>
        <w:autoSpaceDN/>
        <w:bidi w:val="0"/>
        <w:adjustRightInd/>
        <w:snapToGrid/>
        <w:spacing w:line="560" w:lineRule="exact"/>
        <w:ind w:left="0" w:leftChars="0" w:firstLine="240" w:firstLineChars="100"/>
        <w:textAlignment w:val="auto"/>
        <w:rPr>
          <w:rFonts w:hint="eastAsia" w:ascii="仿宋" w:hAnsi="仿宋" w:eastAsia="仿宋" w:cs="仿宋"/>
          <w:color w:val="auto"/>
          <w:kern w:val="0"/>
          <w:szCs w:val="24"/>
          <w:highlight w:val="none"/>
          <w:u w:val="single"/>
        </w:rPr>
      </w:pPr>
      <w:r>
        <w:rPr>
          <w:rFonts w:hint="eastAsia" w:ascii="仿宋" w:hAnsi="仿宋" w:eastAsia="仿宋" w:cs="仿宋"/>
          <w:color w:val="auto"/>
          <w:kern w:val="0"/>
          <w:szCs w:val="24"/>
          <w:highlight w:val="none"/>
        </w:rPr>
        <w:t>地　　址：</w:t>
      </w:r>
      <w:r>
        <w:rPr>
          <w:rFonts w:hint="eastAsia" w:ascii="仿宋" w:hAnsi="仿宋" w:eastAsia="仿宋" w:cs="仿宋"/>
          <w:color w:val="auto"/>
          <w:kern w:val="0"/>
          <w:szCs w:val="24"/>
          <w:highlight w:val="none"/>
          <w:u w:val="single"/>
        </w:rPr>
        <w:t xml:space="preserve">                              </w:t>
      </w:r>
    </w:p>
    <w:p>
      <w:pPr>
        <w:keepNext w:val="0"/>
        <w:keepLines w:val="0"/>
        <w:pageBreakBefore w:val="0"/>
        <w:widowControl/>
        <w:kinsoku/>
        <w:wordWrap/>
        <w:overflowPunct/>
        <w:topLinePunct w:val="0"/>
        <w:autoSpaceDE/>
        <w:autoSpaceDN/>
        <w:bidi w:val="0"/>
        <w:adjustRightInd/>
        <w:snapToGrid/>
        <w:spacing w:line="560" w:lineRule="exact"/>
        <w:ind w:left="240" w:leftChars="100" w:firstLine="0" w:firstLineChars="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邮    编：</w:t>
      </w:r>
      <w:r>
        <w:rPr>
          <w:rFonts w:hint="eastAsia" w:ascii="仿宋" w:hAnsi="仿宋" w:eastAsia="仿宋" w:cs="仿宋"/>
          <w:color w:val="auto"/>
          <w:kern w:val="0"/>
          <w:szCs w:val="24"/>
          <w:highlight w:val="none"/>
          <w:u w:val="single"/>
        </w:rPr>
        <w:t xml:space="preserve">　　                     　　 </w:t>
      </w:r>
      <w:r>
        <w:rPr>
          <w:rFonts w:hint="eastAsia" w:ascii="仿宋" w:hAnsi="仿宋" w:eastAsia="仿宋" w:cs="仿宋"/>
          <w:color w:val="auto"/>
          <w:kern w:val="0"/>
          <w:szCs w:val="24"/>
          <w:highlight w:val="none"/>
          <w:u w:val="single"/>
        </w:rPr>
        <w:br w:type="textWrapping"/>
      </w:r>
      <w:r>
        <w:rPr>
          <w:rFonts w:hint="eastAsia" w:ascii="仿宋" w:hAnsi="仿宋" w:eastAsia="仿宋" w:cs="仿宋"/>
          <w:color w:val="auto"/>
          <w:kern w:val="0"/>
          <w:szCs w:val="24"/>
          <w:highlight w:val="none"/>
        </w:rPr>
        <w:t>电　　话：</w:t>
      </w:r>
      <w:r>
        <w:rPr>
          <w:rFonts w:hint="eastAsia" w:ascii="仿宋" w:hAnsi="仿宋" w:eastAsia="仿宋" w:cs="仿宋"/>
          <w:color w:val="auto"/>
          <w:kern w:val="0"/>
          <w:szCs w:val="24"/>
          <w:highlight w:val="none"/>
          <w:u w:val="single"/>
        </w:rPr>
        <w:t>　　　                　　　　</w:t>
      </w:r>
      <w:r>
        <w:rPr>
          <w:rFonts w:hint="eastAsia" w:ascii="仿宋" w:hAnsi="仿宋" w:eastAsia="仿宋" w:cs="仿宋"/>
          <w:color w:val="auto"/>
          <w:kern w:val="0"/>
          <w:szCs w:val="24"/>
          <w:highlight w:val="none"/>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480" w:firstLineChars="200"/>
        <w:textAlignment w:val="auto"/>
        <w:rPr>
          <w:rFonts w:hint="eastAsia" w:ascii="仿宋" w:hAnsi="仿宋" w:eastAsia="仿宋" w:cs="仿宋"/>
          <w:color w:val="auto"/>
          <w:kern w:val="0"/>
          <w:szCs w:val="24"/>
          <w:highlight w:val="none"/>
        </w:rPr>
      </w:pPr>
    </w:p>
    <w:p>
      <w:pPr>
        <w:keepNext w:val="0"/>
        <w:keepLines w:val="0"/>
        <w:pageBreakBefore w:val="0"/>
        <w:kinsoku/>
        <w:wordWrap/>
        <w:overflowPunct/>
        <w:topLinePunct w:val="0"/>
        <w:autoSpaceDE/>
        <w:autoSpaceDN/>
        <w:bidi w:val="0"/>
        <w:adjustRightInd/>
        <w:snapToGrid/>
        <w:spacing w:line="560" w:lineRule="exact"/>
        <w:ind w:firstLine="4920" w:firstLineChars="2050"/>
        <w:textAlignment w:val="auto"/>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t>年　　月　　日</w:t>
      </w:r>
    </w:p>
    <w:p>
      <w:pPr>
        <w:rPr>
          <w:rFonts w:hint="eastAsia" w:ascii="仿宋" w:hAnsi="仿宋" w:eastAsia="仿宋" w:cs="仿宋"/>
          <w:color w:val="auto"/>
          <w:kern w:val="0"/>
          <w:szCs w:val="24"/>
          <w:highlight w:val="none"/>
        </w:rPr>
      </w:pPr>
      <w:r>
        <w:rPr>
          <w:rFonts w:hint="eastAsia" w:ascii="仿宋" w:hAnsi="仿宋" w:eastAsia="仿宋" w:cs="仿宋"/>
          <w:color w:val="auto"/>
          <w:kern w:val="0"/>
          <w:szCs w:val="24"/>
          <w:highlight w:val="none"/>
        </w:rPr>
        <w:br w:type="page"/>
      </w: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承诺书Ⅱ</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作为参加贵公司组织的招标采购项目的投标人，本公司承诺：在参加本项目招标之前不存在被依法禁止经营行为、财产被接管或冻结的情况，如有隐瞒实情，愿承担一切责任及后果。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240" w:firstLineChars="10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tLeast"/>
        <w:jc w:val="center"/>
        <w:rPr>
          <w:rFonts w:hint="eastAsia" w:ascii="仿宋" w:hAnsi="仿宋" w:eastAsia="仿宋" w:cs="仿宋"/>
          <w:b/>
          <w:color w:val="auto"/>
          <w:sz w:val="32"/>
          <w:szCs w:val="32"/>
          <w:highlight w:val="none"/>
        </w:rPr>
      </w:pP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承诺书Ⅲ</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r>
              <w:rPr>
                <w:rFonts w:hint="eastAsia" w:ascii="仿宋" w:hAnsi="仿宋" w:eastAsia="仿宋" w:cs="仿宋"/>
                <w:color w:val="auto"/>
                <w:sz w:val="24"/>
                <w:highlight w:val="none"/>
              </w:rPr>
              <w:t>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作为参加贵公司组织的招标采购项目的投标人，本公司郑重申告并承诺：近三年受到有关行政主管部门的行政处理、不良行为记录为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tLeast"/>
        <w:rPr>
          <w:rFonts w:hint="eastAsia" w:ascii="宋体" w:hAnsi="宋体"/>
          <w:b/>
          <w:color w:val="auto"/>
          <w:sz w:val="32"/>
          <w:szCs w:val="32"/>
          <w:highlight w:val="none"/>
        </w:rPr>
      </w:pPr>
    </w:p>
    <w:p>
      <w:pPr>
        <w:spacing w:line="360" w:lineRule="atLeast"/>
        <w:jc w:val="center"/>
        <w:rPr>
          <w:rFonts w:hint="eastAsia" w:ascii="仿宋" w:hAnsi="仿宋" w:eastAsia="仿宋" w:cs="仿宋"/>
          <w:b/>
          <w:color w:val="auto"/>
          <w:sz w:val="32"/>
          <w:szCs w:val="32"/>
          <w:highlight w:val="none"/>
        </w:rPr>
      </w:pPr>
      <w:r>
        <w:rPr>
          <w:rFonts w:ascii="宋体" w:hAnsi="宋体"/>
          <w:b/>
          <w:color w:val="auto"/>
          <w:sz w:val="32"/>
          <w:szCs w:val="32"/>
          <w:highlight w:val="none"/>
        </w:rPr>
        <w:br w:type="page"/>
      </w:r>
      <w:r>
        <w:rPr>
          <w:rFonts w:hint="eastAsia" w:ascii="仿宋" w:hAnsi="仿宋" w:eastAsia="仿宋" w:cs="仿宋"/>
          <w:b/>
          <w:color w:val="auto"/>
          <w:sz w:val="32"/>
          <w:szCs w:val="32"/>
          <w:highlight w:val="none"/>
        </w:rPr>
        <w:t>承诺书Ⅳ</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作为参加贵公司组织的招标采购项目的投标人，本公司郑重申告：近三年因</w:t>
            </w:r>
            <w:r>
              <w:rPr>
                <w:rFonts w:hint="eastAsia" w:ascii="仿宋" w:hAnsi="仿宋" w:eastAsia="仿宋" w:cs="仿宋"/>
                <w:color w:val="auto"/>
                <w:sz w:val="24"/>
                <w:highlight w:val="none"/>
                <w:lang w:val="en-US" w:eastAsia="zh-CN"/>
              </w:rPr>
              <w:t>服务质量</w:t>
            </w:r>
            <w:r>
              <w:rPr>
                <w:rFonts w:hint="eastAsia" w:ascii="仿宋" w:hAnsi="仿宋" w:eastAsia="仿宋" w:cs="仿宋"/>
                <w:color w:val="auto"/>
                <w:sz w:val="24"/>
                <w:highlight w:val="none"/>
              </w:rPr>
              <w:t>问题的不法行为记录为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次（没有填零），如有隐瞒实情，愿承担一切责任及后果。</w:t>
            </w:r>
          </w:p>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本公司承诺：本次</w:t>
            </w:r>
            <w:r>
              <w:rPr>
                <w:rFonts w:hint="eastAsia" w:ascii="仿宋" w:hAnsi="仿宋" w:eastAsia="仿宋" w:cs="仿宋"/>
                <w:color w:val="auto"/>
                <w:sz w:val="24"/>
                <w:highlight w:val="none"/>
                <w:lang w:val="en-US" w:eastAsia="zh-CN"/>
              </w:rPr>
              <w:t>所投服务符合相关行业标准</w:t>
            </w:r>
            <w:r>
              <w:rPr>
                <w:rFonts w:hint="eastAsia" w:ascii="仿宋" w:hAnsi="仿宋" w:eastAsia="仿宋" w:cs="仿宋"/>
                <w:color w:val="auto"/>
                <w:sz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360" w:lineRule="auto"/>
        <w:ind w:right="480"/>
        <w:rPr>
          <w:rFonts w:hint="eastAsia" w:ascii="宋体" w:hAnsi="宋体"/>
          <w:color w:val="auto"/>
          <w:sz w:val="24"/>
          <w:szCs w:val="28"/>
          <w:highlight w:val="none"/>
        </w:rPr>
      </w:pPr>
    </w:p>
    <w:p>
      <w:pPr>
        <w:spacing w:line="360" w:lineRule="atLeast"/>
        <w:jc w:val="center"/>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承诺书</w:t>
      </w:r>
      <w:r>
        <w:rPr>
          <w:rFonts w:hint="eastAsia" w:ascii="仿宋" w:hAnsi="仿宋" w:eastAsia="仿宋" w:cs="仿宋"/>
          <w:b/>
          <w:color w:val="auto"/>
          <w:sz w:val="36"/>
          <w:szCs w:val="36"/>
          <w:highlight w:val="none"/>
        </w:rPr>
        <w:fldChar w:fldCharType="begin"/>
      </w:r>
      <w:r>
        <w:rPr>
          <w:rFonts w:hint="eastAsia" w:ascii="仿宋" w:hAnsi="仿宋" w:eastAsia="仿宋" w:cs="仿宋"/>
          <w:b/>
          <w:color w:val="auto"/>
          <w:sz w:val="36"/>
          <w:szCs w:val="36"/>
          <w:highlight w:val="none"/>
        </w:rPr>
        <w:instrText xml:space="preserve"> = 5 \* ROMAN </w:instrText>
      </w:r>
      <w:r>
        <w:rPr>
          <w:rFonts w:hint="eastAsia" w:ascii="仿宋" w:hAnsi="仿宋" w:eastAsia="仿宋" w:cs="仿宋"/>
          <w:b/>
          <w:color w:val="auto"/>
          <w:sz w:val="36"/>
          <w:szCs w:val="36"/>
          <w:highlight w:val="none"/>
        </w:rPr>
        <w:fldChar w:fldCharType="separate"/>
      </w:r>
      <w:r>
        <w:rPr>
          <w:rFonts w:hint="eastAsia" w:ascii="仿宋" w:hAnsi="仿宋" w:eastAsia="仿宋" w:cs="仿宋"/>
          <w:b/>
          <w:color w:val="auto"/>
          <w:sz w:val="36"/>
          <w:szCs w:val="36"/>
          <w:highlight w:val="none"/>
        </w:rPr>
        <w:t>V</w:t>
      </w:r>
      <w:r>
        <w:rPr>
          <w:rFonts w:hint="eastAsia" w:ascii="仿宋" w:hAnsi="仿宋" w:eastAsia="仿宋" w:cs="仿宋"/>
          <w:b/>
          <w:color w:val="auto"/>
          <w:sz w:val="36"/>
          <w:szCs w:val="36"/>
          <w:highlight w:val="none"/>
        </w:rPr>
        <w:fldChar w:fldCharType="end"/>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作为参加贵公司组织的招标采购项目的投标人，本公司承诺：参加本次投标提交的所有资格条件证明文件、业绩证明文件及其他证明文件是真实的、有效的，如有隐瞒实情，愿承担一切责任及后果。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spacing w:line="500" w:lineRule="exact"/>
        <w:rPr>
          <w:rFonts w:hint="eastAsia" w:ascii="宋体" w:hAnsi="宋体"/>
          <w:b/>
          <w:bCs/>
          <w:color w:val="auto"/>
          <w:sz w:val="32"/>
          <w:highlight w:val="none"/>
        </w:rPr>
      </w:pPr>
    </w:p>
    <w:p>
      <w:pPr>
        <w:spacing w:line="360" w:lineRule="atLeast"/>
        <w:jc w:val="center"/>
        <w:rPr>
          <w:rFonts w:hint="eastAsia" w:ascii="仿宋" w:hAnsi="仿宋" w:eastAsia="仿宋" w:cs="仿宋"/>
          <w:b/>
          <w:color w:val="auto"/>
          <w:sz w:val="32"/>
          <w:szCs w:val="32"/>
          <w:highlight w:val="none"/>
        </w:rPr>
      </w:pPr>
    </w:p>
    <w:p>
      <w:pPr>
        <w:spacing w:line="360" w:lineRule="atLeast"/>
        <w:jc w:val="center"/>
        <w:rPr>
          <w:rFonts w:hint="eastAsia" w:ascii="仿宋" w:hAnsi="仿宋" w:eastAsia="仿宋" w:cs="仿宋"/>
          <w:b/>
          <w:color w:val="auto"/>
          <w:sz w:val="32"/>
          <w:szCs w:val="32"/>
          <w:highlight w:val="none"/>
          <w:u w:val="double"/>
        </w:rPr>
      </w:pPr>
      <w:r>
        <w:rPr>
          <w:rFonts w:hint="eastAsia" w:ascii="仿宋" w:hAnsi="仿宋" w:eastAsia="仿宋" w:cs="仿宋"/>
          <w:b/>
          <w:color w:val="auto"/>
          <w:sz w:val="32"/>
          <w:szCs w:val="32"/>
          <w:highlight w:val="none"/>
          <w:u w:val="double"/>
        </w:rPr>
        <w:t>承诺书Ⅵ</w:t>
      </w:r>
    </w:p>
    <w:tbl>
      <w:tblPr>
        <w:tblStyle w:val="2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noWrap w:val="0"/>
            <w:vAlign w:val="center"/>
          </w:tcPr>
          <w:p>
            <w:pPr>
              <w:spacing w:line="36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lang w:eastAsia="zh-CN"/>
              </w:rPr>
              <w:t>卓安项目管理有限公司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640" w:lineRule="exact"/>
              <w:ind w:firstLine="480" w:firstLineChars="200"/>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rPr>
              <w:t>作为参加贵公司组织的招标采购项目的投标人，本公司承诺：</w:t>
            </w:r>
            <w:r>
              <w:rPr>
                <w:rFonts w:hint="eastAsia" w:ascii="仿宋" w:hAnsi="仿宋" w:eastAsia="仿宋" w:cs="仿宋"/>
                <w:color w:val="auto"/>
                <w:sz w:val="24"/>
                <w:highlight w:val="none"/>
                <w:lang w:eastAsia="zh-CN"/>
              </w:rPr>
              <w:t>我单位法人代表及主要负责人所在的公司在近三年内没有违法违规行为，</w:t>
            </w:r>
            <w:r>
              <w:rPr>
                <w:rFonts w:hint="eastAsia" w:ascii="仿宋" w:hAnsi="仿宋" w:eastAsia="仿宋" w:cs="仿宋"/>
                <w:color w:val="auto"/>
                <w:sz w:val="24"/>
                <w:highlight w:val="none"/>
              </w:rPr>
              <w:t>如有</w:t>
            </w:r>
            <w:r>
              <w:rPr>
                <w:rFonts w:hint="eastAsia" w:ascii="仿宋" w:hAnsi="仿宋" w:eastAsia="仿宋" w:cs="仿宋"/>
                <w:color w:val="auto"/>
                <w:sz w:val="24"/>
                <w:highlight w:val="none"/>
                <w:lang w:eastAsia="zh-CN"/>
              </w:rPr>
              <w:t>，我单位自愿放弃本次项目的投标。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w:t>
            </w:r>
          </w:p>
        </w:tc>
        <w:tc>
          <w:tcPr>
            <w:tcW w:w="23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日   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（公章）</w:t>
            </w:r>
          </w:p>
        </w:tc>
        <w:tc>
          <w:tcPr>
            <w:tcW w:w="3420" w:type="dxa"/>
            <w:noWrap w:val="0"/>
            <w:vAlign w:val="center"/>
          </w:tcPr>
          <w:p>
            <w:pPr>
              <w:spacing w:line="36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（签字或盖章）</w:t>
            </w:r>
          </w:p>
        </w:tc>
        <w:tc>
          <w:tcPr>
            <w:tcW w:w="2340" w:type="dxa"/>
            <w:noWrap w:val="0"/>
            <w:vAlign w:val="center"/>
          </w:tcPr>
          <w:p>
            <w:pPr>
              <w:spacing w:line="360" w:lineRule="atLeast"/>
              <w:ind w:firstLine="240" w:firstLineChars="10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年  月  日</w:t>
            </w:r>
          </w:p>
        </w:tc>
      </w:tr>
    </w:tbl>
    <w:p>
      <w:pPr>
        <w:rPr>
          <w:rFonts w:hint="eastAsia"/>
          <w:color w:val="auto"/>
          <w:highlight w:val="none"/>
        </w:rPr>
        <w:sectPr>
          <w:headerReference r:id="rId19" w:type="first"/>
          <w:footerReference r:id="rId21" w:type="first"/>
          <w:headerReference r:id="rId18" w:type="default"/>
          <w:footerReference r:id="rId20" w:type="default"/>
          <w:pgSz w:w="11907" w:h="16840"/>
          <w:pgMar w:top="1417" w:right="1134" w:bottom="1417" w:left="1304" w:header="935" w:footer="771" w:gutter="567"/>
          <w:cols w:space="0" w:num="1"/>
          <w:titlePg/>
          <w:docGrid w:linePitch="312" w:charSpace="0"/>
        </w:sectPr>
      </w:pPr>
    </w:p>
    <w:bookmarkEnd w:id="160"/>
    <w:bookmarkEnd w:id="161"/>
    <w:p>
      <w:pPr>
        <w:pStyle w:val="36"/>
        <w:spacing w:line="560" w:lineRule="exact"/>
        <w:ind w:firstLine="174" w:firstLineChars="62"/>
        <w:rPr>
          <w:rFonts w:hint="eastAsia" w:ascii="仿宋" w:hAnsi="仿宋" w:eastAsia="仿宋" w:cs="仿宋"/>
          <w:color w:val="auto"/>
          <w:sz w:val="24"/>
          <w:szCs w:val="24"/>
          <w:highlight w:val="none"/>
        </w:rPr>
      </w:pPr>
      <w:bookmarkStart w:id="194" w:name="_Toc458617748"/>
      <w:r>
        <w:rPr>
          <w:rFonts w:hint="eastAsia" w:ascii="仿宋" w:hAnsi="仿宋" w:eastAsia="仿宋" w:cs="仿宋"/>
          <w:b/>
          <w:bCs/>
          <w:color w:val="auto"/>
          <w:szCs w:val="28"/>
          <w:highlight w:val="none"/>
          <w:lang w:val="en-US" w:eastAsia="zh-CN"/>
        </w:rPr>
        <w:t>12</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中小</w:t>
      </w:r>
      <w:r>
        <w:rPr>
          <w:rFonts w:hint="eastAsia" w:ascii="仿宋" w:hAnsi="仿宋" w:eastAsia="仿宋" w:cs="仿宋"/>
          <w:b/>
          <w:bCs/>
          <w:color w:val="auto"/>
          <w:szCs w:val="28"/>
          <w:highlight w:val="none"/>
        </w:rPr>
        <w:t>企业声明函》</w:t>
      </w:r>
      <w:bookmarkEnd w:id="194"/>
      <w:bookmarkStart w:id="195" w:name="OLE_LINK19"/>
      <w:r>
        <w:rPr>
          <w:rFonts w:hint="eastAsia" w:ascii="仿宋" w:hAnsi="仿宋" w:eastAsia="仿宋" w:cs="仿宋"/>
          <w:color w:val="auto"/>
          <w:sz w:val="24"/>
          <w:szCs w:val="24"/>
          <w:highlight w:val="none"/>
        </w:rPr>
        <w:t>（格式）</w:t>
      </w:r>
    </w:p>
    <w:bookmarkEnd w:id="195"/>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bCs/>
          <w:color w:val="auto"/>
          <w:kern w:val="0"/>
          <w:sz w:val="20"/>
          <w:szCs w:val="20"/>
          <w:highlight w:val="none"/>
          <w:lang w:val="en-US" w:eastAsia="zh-CN"/>
        </w:rPr>
      </w:pPr>
      <w:r>
        <w:rPr>
          <w:rFonts w:hint="eastAsia" w:ascii="仿宋" w:hAnsi="仿宋" w:eastAsia="仿宋" w:cs="仿宋"/>
          <w:b/>
          <w:bCs/>
          <w:color w:val="auto"/>
          <w:kern w:val="0"/>
          <w:sz w:val="28"/>
          <w:szCs w:val="28"/>
          <w:highlight w:val="none"/>
          <w:lang w:eastAsia="zh-CN"/>
        </w:rPr>
        <w:t>中小</w:t>
      </w:r>
      <w:r>
        <w:rPr>
          <w:rFonts w:hint="eastAsia" w:ascii="仿宋" w:hAnsi="仿宋" w:eastAsia="仿宋" w:cs="仿宋"/>
          <w:b/>
          <w:bCs/>
          <w:color w:val="auto"/>
          <w:kern w:val="0"/>
          <w:sz w:val="28"/>
          <w:szCs w:val="28"/>
          <w:highlight w:val="none"/>
        </w:rPr>
        <w:t>企业声明函</w:t>
      </w:r>
      <w:r>
        <w:rPr>
          <w:rFonts w:hint="eastAsia" w:ascii="仿宋" w:hAnsi="仿宋" w:eastAsia="仿宋" w:cs="仿宋"/>
          <w:b/>
          <w:bCs/>
          <w:color w:val="auto"/>
          <w:kern w:val="0"/>
          <w:sz w:val="28"/>
          <w:szCs w:val="28"/>
          <w:highlight w:val="none"/>
          <w:lang w:val="en-US" w:eastAsia="zh-CN"/>
        </w:rPr>
        <w:t>(服务）</w:t>
      </w:r>
    </w:p>
    <w:p>
      <w:pPr>
        <w:spacing w:line="48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致：</w:t>
      </w:r>
      <w:r>
        <w:rPr>
          <w:rFonts w:hint="eastAsia" w:ascii="仿宋" w:hAnsi="仿宋" w:eastAsia="仿宋" w:cs="仿宋"/>
          <w:color w:val="auto"/>
          <w:sz w:val="24"/>
          <w:szCs w:val="24"/>
          <w:highlight w:val="none"/>
          <w:lang w:eastAsia="zh-CN"/>
        </w:rPr>
        <w:t>卓安项目管理有限公司</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本公司郑重声明，根据《政府采购促进中小企业发展管理办法》（财库﹝2020﹞46号）的规定，本公司参加</w:t>
      </w:r>
      <w:r>
        <w:rPr>
          <w:rFonts w:hint="eastAsia" w:ascii="仿宋" w:hAnsi="仿宋" w:eastAsia="仿宋" w:cs="仿宋"/>
          <w:i w:val="0"/>
          <w:iCs/>
          <w:color w:val="auto"/>
          <w:kern w:val="0"/>
          <w:sz w:val="24"/>
          <w:szCs w:val="24"/>
          <w:highlight w:val="none"/>
          <w:u w:val="single"/>
          <w:lang w:val="en-US" w:eastAsia="zh-CN" w:bidi="ar"/>
        </w:rPr>
        <w:t>（单位名称）</w:t>
      </w:r>
      <w:r>
        <w:rPr>
          <w:rFonts w:hint="eastAsia" w:ascii="仿宋" w:hAnsi="仿宋" w:eastAsia="仿宋" w:cs="仿宋"/>
          <w:color w:val="auto"/>
          <w:kern w:val="0"/>
          <w:sz w:val="24"/>
          <w:szCs w:val="24"/>
          <w:highlight w:val="none"/>
          <w:lang w:val="en-US" w:eastAsia="zh-CN" w:bidi="ar"/>
        </w:rPr>
        <w:t>的</w:t>
      </w:r>
      <w:r>
        <w:rPr>
          <w:rFonts w:hint="eastAsia" w:ascii="仿宋" w:hAnsi="仿宋" w:eastAsia="仿宋" w:cs="仿宋"/>
          <w:i w:val="0"/>
          <w:iCs/>
          <w:color w:val="auto"/>
          <w:kern w:val="0"/>
          <w:sz w:val="24"/>
          <w:szCs w:val="24"/>
          <w:highlight w:val="none"/>
          <w:u w:val="single"/>
          <w:lang w:val="en-US" w:eastAsia="zh-CN" w:bidi="ar"/>
        </w:rPr>
        <w:t>（项目名称）</w:t>
      </w:r>
      <w:r>
        <w:rPr>
          <w:rFonts w:hint="eastAsia" w:ascii="仿宋" w:hAnsi="仿宋" w:eastAsia="仿宋" w:cs="仿宋"/>
          <w:color w:val="auto"/>
          <w:kern w:val="0"/>
          <w:sz w:val="24"/>
          <w:szCs w:val="24"/>
          <w:highlight w:val="none"/>
          <w:lang w:val="en-US" w:eastAsia="zh-CN" w:bidi="ar"/>
        </w:rPr>
        <w:t>采购活动，工程的施工单位全部为符合政策要求的中小企业（或者：服务全部由符合政策要求的中小企业承接）。相关企业的具体情况如下：</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1.</w:t>
      </w:r>
      <w:r>
        <w:rPr>
          <w:rFonts w:hint="eastAsia" w:ascii="仿宋" w:hAnsi="仿宋" w:eastAsia="仿宋" w:cs="仿宋"/>
          <w:i w:val="0"/>
          <w:iCs w:val="0"/>
          <w:color w:val="auto"/>
          <w:kern w:val="0"/>
          <w:sz w:val="24"/>
          <w:szCs w:val="24"/>
          <w:highlight w:val="none"/>
          <w:u w:val="single"/>
          <w:lang w:val="en-US" w:eastAsia="zh-CN" w:bidi="ar"/>
        </w:rPr>
        <w:t>（标的名称）</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 xml:space="preserve">  （采购文件中明确的所属行业）  </w:t>
      </w:r>
      <w:r>
        <w:rPr>
          <w:rFonts w:hint="eastAsia" w:ascii="仿宋" w:hAnsi="仿宋" w:eastAsia="仿宋" w:cs="仿宋"/>
          <w:i w:val="0"/>
          <w:iCs w:val="0"/>
          <w:color w:val="auto"/>
          <w:kern w:val="0"/>
          <w:sz w:val="24"/>
          <w:szCs w:val="24"/>
          <w:highlight w:val="none"/>
          <w:lang w:val="en-US" w:eastAsia="zh-CN" w:bidi="ar"/>
        </w:rPr>
        <w:t>行业；承建（承接）企业为</w:t>
      </w:r>
      <w:r>
        <w:rPr>
          <w:rFonts w:hint="eastAsia" w:ascii="仿宋" w:hAnsi="仿宋" w:eastAsia="仿宋" w:cs="仿宋"/>
          <w:i w:val="0"/>
          <w:iCs w:val="0"/>
          <w:color w:val="auto"/>
          <w:kern w:val="0"/>
          <w:sz w:val="24"/>
          <w:szCs w:val="24"/>
          <w:highlight w:val="none"/>
          <w:u w:val="single"/>
          <w:lang w:val="en-US" w:eastAsia="zh-CN" w:bidi="ar"/>
        </w:rPr>
        <w:t>（企业名称）</w:t>
      </w:r>
      <w:r>
        <w:rPr>
          <w:rFonts w:hint="eastAsia" w:ascii="仿宋" w:hAnsi="仿宋" w:eastAsia="仿宋" w:cs="仿宋"/>
          <w:i w:val="0"/>
          <w:iCs w:val="0"/>
          <w:color w:val="auto"/>
          <w:kern w:val="0"/>
          <w:sz w:val="24"/>
          <w:szCs w:val="24"/>
          <w:highlight w:val="none"/>
          <w:lang w:val="en-US" w:eastAsia="zh-CN" w:bidi="ar"/>
        </w:rPr>
        <w:t>，从业人员</w:t>
      </w:r>
      <w:r>
        <w:rPr>
          <w:rFonts w:hint="eastAsia" w:ascii="仿宋" w:hAnsi="仿宋" w:eastAsia="仿宋" w:cs="仿宋"/>
          <w:i w:val="0"/>
          <w:iCs w:val="0"/>
          <w:color w:val="auto"/>
          <w:kern w:val="0"/>
          <w:sz w:val="24"/>
          <w:szCs w:val="24"/>
          <w:highlight w:val="none"/>
          <w:u w:val="none"/>
          <w:lang w:val="en-US" w:eastAsia="zh-CN" w:bidi="ar"/>
        </w:rPr>
        <w:t xml:space="preserve"> </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人，营业收入为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万元，资产总额为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w:t>
      </w:r>
      <w:r>
        <w:rPr>
          <w:rFonts w:hint="eastAsia" w:ascii="仿宋" w:hAnsi="仿宋" w:eastAsia="仿宋" w:cs="仿宋"/>
          <w:i w:val="0"/>
          <w:iCs w:val="0"/>
          <w:color w:val="auto"/>
          <w:kern w:val="0"/>
          <w:sz w:val="24"/>
          <w:szCs w:val="24"/>
          <w:highlight w:val="none"/>
          <w:vertAlign w:val="superscript"/>
          <w:lang w:val="en-US" w:eastAsia="zh-CN" w:bidi="ar"/>
        </w:rPr>
        <w:t>1</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（中型企业、小型企业、微型企业）</w:t>
      </w:r>
      <w:r>
        <w:rPr>
          <w:rFonts w:hint="eastAsia" w:ascii="仿宋" w:hAnsi="仿宋" w:eastAsia="仿宋" w:cs="仿宋"/>
          <w:i w:val="0"/>
          <w:iCs w:val="0"/>
          <w:color w:val="auto"/>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2.</w:t>
      </w:r>
      <w:r>
        <w:rPr>
          <w:rFonts w:hint="eastAsia" w:ascii="仿宋" w:hAnsi="仿宋" w:eastAsia="仿宋" w:cs="仿宋"/>
          <w:i w:val="0"/>
          <w:iCs w:val="0"/>
          <w:color w:val="auto"/>
          <w:kern w:val="0"/>
          <w:sz w:val="24"/>
          <w:szCs w:val="24"/>
          <w:highlight w:val="none"/>
          <w:u w:val="single"/>
          <w:lang w:val="en-US" w:eastAsia="zh-CN" w:bidi="ar"/>
        </w:rPr>
        <w:t>（标的名称）</w:t>
      </w:r>
      <w:r>
        <w:rPr>
          <w:rFonts w:hint="eastAsia" w:ascii="仿宋" w:hAnsi="仿宋" w:eastAsia="仿宋" w:cs="仿宋"/>
          <w:i w:val="0"/>
          <w:iCs w:val="0"/>
          <w:color w:val="auto"/>
          <w:kern w:val="0"/>
          <w:sz w:val="24"/>
          <w:szCs w:val="24"/>
          <w:highlight w:val="none"/>
          <w:lang w:val="en-US" w:eastAsia="zh-CN" w:bidi="ar"/>
        </w:rPr>
        <w:t>，属于</w:t>
      </w:r>
      <w:r>
        <w:rPr>
          <w:rFonts w:hint="eastAsia" w:ascii="仿宋" w:hAnsi="仿宋" w:eastAsia="仿宋" w:cs="仿宋"/>
          <w:i w:val="0"/>
          <w:iCs w:val="0"/>
          <w:color w:val="auto"/>
          <w:kern w:val="0"/>
          <w:sz w:val="24"/>
          <w:szCs w:val="24"/>
          <w:highlight w:val="none"/>
          <w:u w:val="single"/>
          <w:lang w:val="en-US" w:eastAsia="zh-CN" w:bidi="ar"/>
        </w:rPr>
        <w:t xml:space="preserve">  （采购文件中明确的所属行业）  </w:t>
      </w:r>
      <w:r>
        <w:rPr>
          <w:rFonts w:hint="eastAsia" w:ascii="仿宋" w:hAnsi="仿宋" w:eastAsia="仿宋" w:cs="仿宋"/>
          <w:i w:val="0"/>
          <w:iCs w:val="0"/>
          <w:color w:val="auto"/>
          <w:kern w:val="0"/>
          <w:sz w:val="24"/>
          <w:szCs w:val="24"/>
          <w:highlight w:val="none"/>
          <w:lang w:val="en-US" w:eastAsia="zh-CN" w:bidi="ar"/>
        </w:rPr>
        <w:t>行业；承建（承接）企业为</w:t>
      </w:r>
      <w:r>
        <w:rPr>
          <w:rFonts w:hint="eastAsia" w:ascii="仿宋" w:hAnsi="仿宋" w:eastAsia="仿宋" w:cs="仿宋"/>
          <w:i w:val="0"/>
          <w:iCs w:val="0"/>
          <w:color w:val="auto"/>
          <w:kern w:val="0"/>
          <w:sz w:val="24"/>
          <w:szCs w:val="24"/>
          <w:highlight w:val="none"/>
          <w:u w:val="single"/>
          <w:lang w:val="en-US" w:eastAsia="zh-CN" w:bidi="ar"/>
        </w:rPr>
        <w:t>（企业名称）</w:t>
      </w:r>
      <w:r>
        <w:rPr>
          <w:rFonts w:hint="eastAsia" w:ascii="仿宋" w:hAnsi="仿宋" w:eastAsia="仿宋" w:cs="仿宋"/>
          <w:i w:val="0"/>
          <w:iCs w:val="0"/>
          <w:color w:val="auto"/>
          <w:kern w:val="0"/>
          <w:sz w:val="24"/>
          <w:szCs w:val="24"/>
          <w:highlight w:val="none"/>
          <w:lang w:val="en-US" w:eastAsia="zh-CN" w:bidi="ar"/>
        </w:rPr>
        <w:t>，从业人员</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人，营业收入为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万元，资产总额为</w:t>
      </w:r>
      <w:r>
        <w:rPr>
          <w:rFonts w:hint="eastAsia" w:ascii="仿宋" w:hAnsi="仿宋" w:eastAsia="仿宋" w:cs="仿宋"/>
          <w:i w:val="0"/>
          <w:iCs w:val="0"/>
          <w:color w:val="auto"/>
          <w:kern w:val="0"/>
          <w:sz w:val="24"/>
          <w:szCs w:val="24"/>
          <w:highlight w:val="none"/>
          <w:u w:val="single"/>
          <w:lang w:val="en-US" w:eastAsia="zh-CN" w:bidi="ar"/>
        </w:rPr>
        <w:t xml:space="preserve">     </w:t>
      </w:r>
      <w:r>
        <w:rPr>
          <w:rFonts w:hint="eastAsia" w:ascii="仿宋" w:hAnsi="仿宋" w:eastAsia="仿宋" w:cs="仿宋"/>
          <w:i w:val="0"/>
          <w:iCs w:val="0"/>
          <w:color w:val="auto"/>
          <w:kern w:val="0"/>
          <w:sz w:val="24"/>
          <w:szCs w:val="24"/>
          <w:highlight w:val="none"/>
          <w:lang w:val="en-US" w:eastAsia="zh-CN" w:bidi="ar"/>
        </w:rPr>
        <w:t>万元，属于</w:t>
      </w:r>
      <w:r>
        <w:rPr>
          <w:rFonts w:hint="eastAsia" w:ascii="仿宋" w:hAnsi="仿宋" w:eastAsia="仿宋" w:cs="仿宋"/>
          <w:i w:val="0"/>
          <w:iCs w:val="0"/>
          <w:color w:val="auto"/>
          <w:kern w:val="0"/>
          <w:sz w:val="24"/>
          <w:szCs w:val="24"/>
          <w:highlight w:val="none"/>
          <w:u w:val="single"/>
          <w:lang w:val="en-US" w:eastAsia="zh-CN" w:bidi="ar"/>
        </w:rPr>
        <w:t>（中型企业、小型企业、微型企业）</w:t>
      </w:r>
      <w:r>
        <w:rPr>
          <w:rFonts w:hint="eastAsia" w:ascii="仿宋" w:hAnsi="仿宋" w:eastAsia="仿宋" w:cs="仿宋"/>
          <w:i w:val="0"/>
          <w:iCs w:val="0"/>
          <w:color w:val="auto"/>
          <w:kern w:val="0"/>
          <w:sz w:val="24"/>
          <w:szCs w:val="24"/>
          <w:highlight w:val="non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560" w:lineRule="exact"/>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snapToGrid/>
        <w:spacing w:line="560" w:lineRule="exact"/>
        <w:ind w:firstLine="480" w:firstLineChars="200"/>
        <w:jc w:val="left"/>
        <w:textAlignment w:val="auto"/>
        <w:rPr>
          <w:rFonts w:hint="eastAsia" w:ascii="仿宋" w:hAnsi="仿宋" w:eastAsia="仿宋" w:cs="仿宋"/>
          <w:i w:val="0"/>
          <w:iCs w:val="0"/>
          <w:color w:val="auto"/>
          <w:kern w:val="0"/>
          <w:sz w:val="24"/>
          <w:szCs w:val="24"/>
          <w:highlight w:val="none"/>
          <w:lang w:val="en-US" w:eastAsia="zh-CN" w:bidi="ar"/>
        </w:rPr>
      </w:pPr>
      <w:r>
        <w:rPr>
          <w:rFonts w:hint="eastAsia" w:ascii="仿宋" w:hAnsi="仿宋" w:eastAsia="仿宋" w:cs="仿宋"/>
          <w:i w:val="0"/>
          <w:iCs w:val="0"/>
          <w:color w:val="auto"/>
          <w:kern w:val="0"/>
          <w:sz w:val="24"/>
          <w:szCs w:val="24"/>
          <w:highlight w:val="none"/>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560" w:lineRule="exact"/>
        <w:jc w:val="center"/>
        <w:textAlignment w:val="auto"/>
        <w:rPr>
          <w:rFonts w:hint="eastAsia" w:ascii="仿宋" w:hAnsi="仿宋" w:eastAsia="仿宋" w:cs="仿宋"/>
          <w:i w:val="0"/>
          <w:iCs w:val="0"/>
          <w:color w:val="auto"/>
          <w:sz w:val="24"/>
          <w:szCs w:val="24"/>
          <w:highlight w:val="none"/>
        </w:rPr>
      </w:pPr>
      <w:r>
        <w:rPr>
          <w:rFonts w:hint="eastAsia" w:ascii="仿宋" w:hAnsi="仿宋" w:eastAsia="仿宋" w:cs="仿宋"/>
          <w:i w:val="0"/>
          <w:iCs w:val="0"/>
          <w:color w:val="auto"/>
          <w:kern w:val="0"/>
          <w:sz w:val="24"/>
          <w:szCs w:val="24"/>
          <w:highlight w:val="none"/>
          <w:lang w:val="en-US" w:eastAsia="zh-CN" w:bidi="ar"/>
        </w:rPr>
        <w:t xml:space="preserve">                                企业名称（盖章）： </w:t>
      </w:r>
    </w:p>
    <w:p>
      <w:pPr>
        <w:pStyle w:val="2"/>
        <w:keepNext w:val="0"/>
        <w:keepLines w:val="0"/>
        <w:pageBreakBefore w:val="0"/>
        <w:widowControl w:val="0"/>
        <w:kinsoku/>
        <w:wordWrap/>
        <w:overflowPunct/>
        <w:topLinePunct w:val="0"/>
        <w:autoSpaceDE/>
        <w:autoSpaceDN/>
        <w:bidi w:val="0"/>
        <w:adjustRightInd/>
        <w:snapToGrid/>
        <w:spacing w:before="35" w:line="560" w:lineRule="exact"/>
        <w:ind w:left="4060" w:right="2166" w:firstLine="240" w:firstLineChars="100"/>
        <w:textAlignment w:val="auto"/>
        <w:rPr>
          <w:rFonts w:hint="eastAsia" w:ascii="仿宋" w:hAnsi="仿宋" w:eastAsia="仿宋" w:cs="仿宋"/>
          <w:color w:val="auto"/>
          <w:kern w:val="2"/>
          <w:sz w:val="24"/>
          <w:szCs w:val="24"/>
          <w:highlight w:val="none"/>
          <w:u w:val="none"/>
          <w:lang w:val="en-US" w:eastAsia="zh-CN" w:bidi="ar-SA"/>
        </w:rPr>
      </w:pPr>
      <w:r>
        <w:rPr>
          <w:rFonts w:hint="eastAsia" w:ascii="仿宋" w:hAnsi="仿宋" w:eastAsia="仿宋" w:cs="仿宋"/>
          <w:color w:val="auto"/>
          <w:kern w:val="0"/>
          <w:sz w:val="24"/>
          <w:szCs w:val="24"/>
          <w:highlight w:val="none"/>
          <w:lang w:val="en-US" w:eastAsia="zh-CN" w:bidi="ar"/>
        </w:rPr>
        <w:t xml:space="preserve">         日 期：</w:t>
      </w:r>
    </w:p>
    <w:p>
      <w:pPr>
        <w:rPr>
          <w:rFonts w:hint="eastAsia" w:ascii="仿宋" w:hAnsi="仿宋" w:eastAsia="仿宋" w:cs="仿宋"/>
          <w:color w:val="auto"/>
          <w:highlight w:val="none"/>
          <w:lang w:val="en-US" w:eastAsia="zh-CN"/>
        </w:rPr>
      </w:pPr>
      <w:r>
        <w:rPr>
          <w:rFonts w:hint="eastAsia" w:ascii="仿宋" w:hAnsi="仿宋" w:eastAsia="仿宋" w:cs="仿宋"/>
          <w:color w:val="auto"/>
          <w:highlight w:val="none"/>
        </w:rPr>
        <w:pict>
          <v:shape id="_x0000_s1035" o:spid="_x0000_s1035" o:spt="202" type="#_x0000_t202" style="position:absolute;left:0pt;margin-left:94.55pt;margin-top:688.15pt;height:24.05pt;width:373.9pt;mso-position-horizontal-relative:page;mso-position-vertical-relative:page;z-index:-251657216;mso-width-relative:page;mso-height-relative:page;" filled="f" stroked="f" coordsize="21600,21600">
            <v:path/>
            <v:fill on="f" focussize="0,0"/>
            <v:stroke on="f" joinstyle="miter"/>
            <v:imagedata o:title=""/>
            <o:lock v:ext="edit"/>
            <v:textbox inset="0mm,0mm,0mm,0mm">
              <w:txbxContent>
                <w:p>
                  <w:pPr>
                    <w:spacing w:before="5"/>
                    <w:ind w:left="20" w:right="0" w:firstLine="0"/>
                    <w:jc w:val="left"/>
                    <w:rPr>
                      <w:rFonts w:hint="eastAsia" w:ascii="宋体" w:eastAsia="宋体"/>
                      <w:sz w:val="18"/>
                    </w:rPr>
                  </w:pPr>
                  <w:r>
                    <w:rPr>
                      <w:rFonts w:hint="eastAsia" w:ascii="楷体" w:hAnsi="楷体" w:eastAsia="楷体" w:cs="楷体"/>
                      <w:position w:val="6"/>
                      <w:sz w:val="11"/>
                    </w:rPr>
                    <w:t>1</w:t>
                  </w:r>
                  <w:r>
                    <w:rPr>
                      <w:rFonts w:hint="eastAsia" w:ascii="楷体" w:hAnsi="楷体" w:eastAsia="楷体" w:cs="楷体"/>
                      <w:sz w:val="18"/>
                    </w:rPr>
                    <w:t>从业人员、营业收入、资产总额填报上一年度数据，无上一年度数据的新成立企业可不填报。</w:t>
                  </w:r>
                </w:p>
                <w:p>
                  <w:pPr>
                    <w:spacing w:before="8"/>
                    <w:ind w:left="866" w:right="0" w:firstLine="0"/>
                    <w:jc w:val="center"/>
                    <w:rPr>
                      <w:rFonts w:ascii="Calibri"/>
                      <w:sz w:val="18"/>
                    </w:rPr>
                  </w:pPr>
                </w:p>
              </w:txbxContent>
            </v:textbox>
          </v:shape>
        </w:pict>
      </w:r>
    </w:p>
    <w:p>
      <w:pPr>
        <w:rPr>
          <w:rFonts w:hint="eastAsia" w:ascii="仿宋" w:hAnsi="仿宋" w:eastAsia="仿宋" w:cs="仿宋"/>
          <w:color w:val="auto"/>
          <w:kern w:val="2"/>
          <w:sz w:val="24"/>
          <w:szCs w:val="24"/>
          <w:highlight w:val="none"/>
          <w:u w:val="none"/>
          <w:lang w:val="en-US" w:eastAsia="zh-CN" w:bidi="ar-SA"/>
        </w:rPr>
      </w:pPr>
    </w:p>
    <w:p>
      <w:pPr>
        <w:spacing w:line="480" w:lineRule="exact"/>
        <w:ind w:firstLine="241" w:firstLineChars="100"/>
        <w:rPr>
          <w:rFonts w:hint="eastAsia" w:ascii="仿宋" w:hAnsi="仿宋" w:eastAsia="仿宋" w:cs="仿宋"/>
          <w:b/>
          <w:color w:val="auto"/>
          <w:sz w:val="24"/>
          <w:highlight w:val="none"/>
          <w:lang w:val="en-US" w:eastAsia="zh-CN"/>
        </w:rPr>
      </w:pPr>
    </w:p>
    <w:p>
      <w:pPr>
        <w:spacing w:line="480" w:lineRule="exact"/>
        <w:ind w:firstLine="221" w:firstLineChars="100"/>
        <w:rPr>
          <w:rFonts w:hint="eastAsia" w:ascii="仿宋" w:hAnsi="仿宋" w:eastAsia="仿宋" w:cs="仿宋"/>
          <w:b/>
          <w:color w:val="auto"/>
          <w:sz w:val="22"/>
          <w:szCs w:val="21"/>
          <w:highlight w:val="none"/>
          <w:lang w:val="en-US" w:eastAsia="zh-CN"/>
        </w:rPr>
      </w:pPr>
    </w:p>
    <w:p>
      <w:pPr>
        <w:pStyle w:val="2"/>
        <w:rPr>
          <w:rFonts w:hint="eastAsia" w:ascii="仿宋" w:hAnsi="仿宋" w:eastAsia="仿宋" w:cs="仿宋"/>
          <w:color w:val="auto"/>
          <w:highlight w:val="none"/>
          <w:lang w:val="en-US" w:eastAsia="zh-CN"/>
        </w:rPr>
        <w:sectPr>
          <w:footerReference r:id="rId22" w:type="default"/>
          <w:pgSz w:w="11910" w:h="16840"/>
          <w:pgMar w:top="1500" w:right="1380" w:bottom="1780" w:left="1580" w:header="1587" w:footer="1595" w:gutter="0"/>
          <w:cols w:space="720" w:num="1"/>
        </w:sectPr>
      </w:pPr>
    </w:p>
    <w:p>
      <w:pPr>
        <w:pStyle w:val="36"/>
        <w:spacing w:line="560" w:lineRule="exact"/>
        <w:ind w:firstLine="174" w:firstLineChars="62"/>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lang w:val="en-US" w:eastAsia="zh-CN"/>
        </w:rPr>
        <w:t>13.</w:t>
      </w:r>
      <w:r>
        <w:rPr>
          <w:rFonts w:hint="eastAsia" w:ascii="仿宋" w:hAnsi="仿宋" w:eastAsia="仿宋" w:cs="仿宋"/>
          <w:b/>
          <w:bCs/>
          <w:color w:val="auto"/>
          <w:szCs w:val="28"/>
          <w:highlight w:val="none"/>
        </w:rPr>
        <w:t>《残疾人福利性单位声明函》</w:t>
      </w:r>
      <w:r>
        <w:rPr>
          <w:rFonts w:hint="eastAsia" w:ascii="仿宋" w:hAnsi="仿宋" w:eastAsia="仿宋" w:cs="仿宋"/>
          <w:color w:val="auto"/>
          <w:sz w:val="24"/>
          <w:szCs w:val="24"/>
          <w:highlight w:val="none"/>
        </w:rPr>
        <w:t>（格式，若有）</w:t>
      </w:r>
    </w:p>
    <w:p>
      <w:pPr>
        <w:spacing w:line="560" w:lineRule="exact"/>
        <w:jc w:val="center"/>
        <w:rPr>
          <w:rFonts w:hint="eastAsia" w:ascii="仿宋" w:hAnsi="仿宋" w:eastAsia="仿宋" w:cs="仿宋"/>
          <w:b/>
          <w:color w:val="auto"/>
          <w:spacing w:val="6"/>
          <w:szCs w:val="24"/>
          <w:highlight w:val="none"/>
        </w:rPr>
      </w:pPr>
      <w:bookmarkStart w:id="196" w:name="OLE_LINK14"/>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仿宋" w:hAnsi="仿宋" w:eastAsia="仿宋" w:cs="仿宋"/>
          <w:b/>
          <w:strike w:val="0"/>
          <w:dstrike w:val="0"/>
          <w:color w:val="auto"/>
          <w:spacing w:val="6"/>
          <w:szCs w:val="24"/>
          <w:highlight w:val="none"/>
          <w:u w:val="double"/>
        </w:rPr>
      </w:pPr>
      <w:r>
        <w:rPr>
          <w:rFonts w:hint="eastAsia" w:ascii="仿宋" w:hAnsi="仿宋" w:eastAsia="仿宋" w:cs="仿宋"/>
          <w:b/>
          <w:color w:val="auto"/>
          <w:spacing w:val="6"/>
          <w:szCs w:val="24"/>
          <w:highlight w:val="none"/>
        </w:rPr>
        <w:t>残疾人福利性单位声明函</w:t>
      </w:r>
      <w:r>
        <w:rPr>
          <w:rFonts w:hint="eastAsia" w:ascii="仿宋" w:hAnsi="仿宋" w:eastAsia="仿宋" w:cs="仿宋"/>
          <w:b/>
          <w:strike w:val="0"/>
          <w:dstrike w:val="0"/>
          <w:color w:val="auto"/>
          <w:spacing w:val="6"/>
          <w:sz w:val="21"/>
          <w:szCs w:val="21"/>
          <w:highlight w:val="none"/>
          <w:u w:val="double"/>
          <w:lang w:val="zh-CN"/>
        </w:rPr>
        <w:t>（非</w:t>
      </w:r>
      <w:r>
        <w:rPr>
          <w:rFonts w:hint="eastAsia" w:ascii="仿宋" w:hAnsi="仿宋" w:eastAsia="仿宋" w:cs="仿宋"/>
          <w:b/>
          <w:strike w:val="0"/>
          <w:dstrike w:val="0"/>
          <w:color w:val="auto"/>
          <w:spacing w:val="6"/>
          <w:sz w:val="21"/>
          <w:szCs w:val="21"/>
          <w:highlight w:val="none"/>
          <w:u w:val="double"/>
        </w:rPr>
        <w:t>残疾人福利企业</w:t>
      </w:r>
      <w:r>
        <w:rPr>
          <w:rFonts w:hint="eastAsia" w:ascii="仿宋" w:hAnsi="仿宋" w:eastAsia="仿宋" w:cs="仿宋"/>
          <w:b/>
          <w:strike w:val="0"/>
          <w:dstrike w:val="0"/>
          <w:color w:val="auto"/>
          <w:spacing w:val="6"/>
          <w:sz w:val="21"/>
          <w:szCs w:val="21"/>
          <w:highlight w:val="none"/>
          <w:u w:val="double"/>
          <w:lang w:val="zh-CN"/>
        </w:rPr>
        <w:t>不</w:t>
      </w:r>
      <w:r>
        <w:rPr>
          <w:rFonts w:hint="eastAsia" w:ascii="仿宋" w:hAnsi="仿宋" w:eastAsia="仿宋" w:cs="仿宋"/>
          <w:b/>
          <w:strike w:val="0"/>
          <w:dstrike w:val="0"/>
          <w:color w:val="auto"/>
          <w:spacing w:val="6"/>
          <w:sz w:val="21"/>
          <w:szCs w:val="21"/>
          <w:highlight w:val="none"/>
          <w:u w:val="double"/>
        </w:rPr>
        <w:t>填写</w:t>
      </w:r>
      <w:r>
        <w:rPr>
          <w:rFonts w:hint="eastAsia" w:ascii="仿宋" w:hAnsi="仿宋" w:eastAsia="仿宋" w:cs="仿宋"/>
          <w:b/>
          <w:strike w:val="0"/>
          <w:dstrike w:val="0"/>
          <w:color w:val="auto"/>
          <w:spacing w:val="6"/>
          <w:sz w:val="21"/>
          <w:szCs w:val="21"/>
          <w:highlight w:val="none"/>
          <w:u w:val="double"/>
          <w:lang w:val="zh-CN"/>
        </w:rPr>
        <w:t>）</w:t>
      </w:r>
    </w:p>
    <w:bookmarkEnd w:id="196"/>
    <w:p>
      <w:pPr>
        <w:keepNext w:val="0"/>
        <w:keepLines w:val="0"/>
        <w:pageBreakBefore w:val="0"/>
        <w:widowControl w:val="0"/>
        <w:kinsoku/>
        <w:wordWrap/>
        <w:overflowPunct/>
        <w:topLinePunct w:val="0"/>
        <w:autoSpaceDE/>
        <w:autoSpaceDN/>
        <w:bidi w:val="0"/>
        <w:adjustRightInd/>
        <w:snapToGrid/>
        <w:spacing w:line="640" w:lineRule="exact"/>
        <w:textAlignment w:val="auto"/>
        <w:rPr>
          <w:rFonts w:hint="eastAsia" w:ascii="仿宋" w:hAnsi="仿宋" w:eastAsia="仿宋" w:cs="仿宋"/>
          <w:b/>
          <w:strike/>
          <w:dstrike w:val="0"/>
          <w:color w:val="auto"/>
          <w:spacing w:val="6"/>
          <w:szCs w:val="24"/>
          <w:highlight w:val="none"/>
        </w:rPr>
      </w:pP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本单位郑重声明，根据《财政部 民政部 中国残疾人联合会关于促进残疾人就业政府采购政策的通知》（财库</w:t>
      </w:r>
      <w:r>
        <w:rPr>
          <w:rFonts w:hint="eastAsia" w:ascii="仿宋" w:hAnsi="仿宋" w:eastAsia="仿宋" w:cs="仿宋"/>
          <w:color w:val="auto"/>
          <w:szCs w:val="24"/>
          <w:highlight w:val="none"/>
        </w:rPr>
        <w:t>〔2017〕 141</w:t>
      </w:r>
      <w:r>
        <w:rPr>
          <w:rFonts w:hint="eastAsia" w:ascii="仿宋" w:hAnsi="仿宋" w:eastAsia="仿宋" w:cs="仿宋"/>
          <w:color w:val="auto"/>
          <w:spacing w:val="6"/>
          <w:szCs w:val="24"/>
          <w:highlight w:val="none"/>
        </w:rPr>
        <w:t>号）的规定，本单位为符合条件的残疾人福利性单位，且本单位参加</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单位的</w:t>
      </w:r>
      <w:r>
        <w:rPr>
          <w:rFonts w:hint="eastAsia" w:ascii="仿宋" w:hAnsi="仿宋" w:eastAsia="仿宋" w:cs="仿宋"/>
          <w:color w:val="auto"/>
          <w:spacing w:val="6"/>
          <w:szCs w:val="24"/>
          <w:highlight w:val="none"/>
          <w:u w:val="single"/>
        </w:rPr>
        <w:t xml:space="preserve">       </w:t>
      </w:r>
      <w:r>
        <w:rPr>
          <w:rFonts w:hint="eastAsia" w:ascii="仿宋" w:hAnsi="仿宋" w:eastAsia="仿宋" w:cs="仿宋"/>
          <w:color w:val="auto"/>
          <w:spacing w:val="6"/>
          <w:szCs w:val="24"/>
          <w:highlight w:val="none"/>
        </w:rPr>
        <w:t>项目采购活动提供本单位制造的货物（由本单位承担工程/提供服务），或者提供其他残疾人福利性单位制造的货物（不包括使用非残疾人福利性单位注册商标的货物）。</w:t>
      </w: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napToGrid/>
        <w:spacing w:line="640" w:lineRule="exact"/>
        <w:ind w:firstLine="504" w:firstLineChars="200"/>
        <w:textAlignment w:val="auto"/>
        <w:rPr>
          <w:rFonts w:hint="eastAsia" w:ascii="仿宋" w:hAnsi="仿宋" w:eastAsia="仿宋" w:cs="仿宋"/>
          <w:color w:val="auto"/>
          <w:spacing w:val="6"/>
          <w:szCs w:val="24"/>
          <w:highlight w:val="none"/>
        </w:rPr>
      </w:pPr>
    </w:p>
    <w:p>
      <w:pPr>
        <w:keepNext w:val="0"/>
        <w:keepLines w:val="0"/>
        <w:pageBreakBefore w:val="0"/>
        <w:widowControl w:val="0"/>
        <w:tabs>
          <w:tab w:val="left" w:pos="4860"/>
        </w:tabs>
        <w:kinsoku/>
        <w:wordWrap/>
        <w:overflowPunct/>
        <w:topLinePunct w:val="0"/>
        <w:autoSpaceDE/>
        <w:autoSpaceDN/>
        <w:bidi w:val="0"/>
        <w:adjustRightInd/>
        <w:snapToGrid/>
        <w:spacing w:line="640" w:lineRule="exact"/>
        <w:ind w:right="1560" w:firstLine="504" w:firstLineChars="200"/>
        <w:jc w:val="center"/>
        <w:textAlignment w:val="auto"/>
        <w:rPr>
          <w:rFonts w:hint="eastAsia" w:ascii="仿宋" w:hAnsi="仿宋" w:eastAsia="仿宋" w:cs="仿宋"/>
          <w:color w:val="auto"/>
          <w:spacing w:val="6"/>
          <w:szCs w:val="24"/>
          <w:highlight w:val="none"/>
          <w:u w:val="single"/>
        </w:rPr>
      </w:pPr>
      <w:r>
        <w:rPr>
          <w:rFonts w:hint="eastAsia" w:ascii="仿宋" w:hAnsi="仿宋" w:eastAsia="仿宋" w:cs="仿宋"/>
          <w:color w:val="auto"/>
          <w:spacing w:val="6"/>
          <w:szCs w:val="24"/>
          <w:highlight w:val="none"/>
        </w:rPr>
        <w:t xml:space="preserve">              单位名称（盖章）：</w:t>
      </w:r>
      <w:r>
        <w:rPr>
          <w:rFonts w:hint="eastAsia" w:ascii="仿宋" w:hAnsi="仿宋" w:eastAsia="仿宋" w:cs="仿宋"/>
          <w:color w:val="auto"/>
          <w:spacing w:val="6"/>
          <w:szCs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napToGrid/>
        <w:spacing w:line="640" w:lineRule="exact"/>
        <w:ind w:right="1560" w:firstLine="504" w:firstLineChars="200"/>
        <w:jc w:val="center"/>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日  期：</w:t>
      </w:r>
      <w:r>
        <w:rPr>
          <w:rFonts w:hint="eastAsia" w:ascii="仿宋" w:hAnsi="仿宋" w:eastAsia="仿宋" w:cs="仿宋"/>
          <w:color w:val="auto"/>
          <w:spacing w:val="6"/>
          <w:szCs w:val="24"/>
          <w:highlight w:val="none"/>
          <w:u w:val="single"/>
        </w:rPr>
        <w:t xml:space="preserve">            </w:t>
      </w:r>
    </w:p>
    <w:p>
      <w:pPr>
        <w:keepNext w:val="0"/>
        <w:keepLines w:val="0"/>
        <w:pageBreakBefore w:val="0"/>
        <w:widowControl w:val="0"/>
        <w:tabs>
          <w:tab w:val="left" w:pos="5670"/>
        </w:tabs>
        <w:kinsoku/>
        <w:wordWrap/>
        <w:overflowPunct/>
        <w:topLinePunct w:val="0"/>
        <w:autoSpaceDE/>
        <w:autoSpaceDN/>
        <w:bidi w:val="0"/>
        <w:adjustRightInd/>
        <w:snapToGrid/>
        <w:spacing w:line="560" w:lineRule="exact"/>
        <w:ind w:firstLine="566"/>
        <w:jc w:val="left"/>
        <w:textAlignment w:val="auto"/>
        <w:rPr>
          <w:rFonts w:hint="eastAsia" w:ascii="仿宋" w:hAnsi="仿宋" w:eastAsia="仿宋" w:cs="仿宋"/>
          <w:b w:val="0"/>
          <w:bCs w:val="0"/>
          <w:color w:val="auto"/>
          <w:sz w:val="28"/>
          <w:szCs w:val="28"/>
          <w:highlight w:val="none"/>
        </w:rPr>
      </w:pPr>
    </w:p>
    <w:p>
      <w:pPr>
        <w:spacing w:line="360" w:lineRule="auto"/>
        <w:ind w:firstLine="422" w:firstLineChars="200"/>
        <w:rPr>
          <w:rFonts w:hint="eastAsia" w:ascii="仿宋" w:hAnsi="仿宋" w:eastAsia="仿宋" w:cs="仿宋"/>
          <w:b/>
          <w:bCs w:val="0"/>
          <w:color w:val="auto"/>
          <w:kern w:val="0"/>
          <w:sz w:val="21"/>
          <w:szCs w:val="20"/>
          <w:highlight w:val="none"/>
          <w:lang w:val="zh-CN"/>
        </w:rPr>
      </w:pPr>
    </w:p>
    <w:p>
      <w:pPr>
        <w:spacing w:line="360" w:lineRule="auto"/>
        <w:ind w:firstLine="422" w:firstLineChars="200"/>
        <w:rPr>
          <w:rFonts w:hint="eastAsia" w:ascii="仿宋" w:hAnsi="仿宋" w:eastAsia="仿宋" w:cs="仿宋"/>
          <w:b/>
          <w:bCs w:val="0"/>
          <w:color w:val="auto"/>
          <w:kern w:val="0"/>
          <w:sz w:val="21"/>
          <w:szCs w:val="20"/>
          <w:highlight w:val="none"/>
          <w:lang w:val="zh-CN"/>
        </w:rPr>
      </w:pPr>
      <w:r>
        <w:rPr>
          <w:rFonts w:hint="eastAsia" w:ascii="仿宋" w:hAnsi="仿宋" w:eastAsia="仿宋" w:cs="仿宋"/>
          <w:b/>
          <w:bCs w:val="0"/>
          <w:color w:val="auto"/>
          <w:kern w:val="0"/>
          <w:sz w:val="21"/>
          <w:szCs w:val="20"/>
          <w:highlight w:val="none"/>
          <w:lang w:val="zh-CN"/>
        </w:rPr>
        <w:t>备注：投标人提供的《残疾人福利性单位声明函》必须真实有效，如果被举报经查实出具虚假声明函的，将被取消投标资格，并按有关规定予以处理。</w:t>
      </w:r>
    </w:p>
    <w:p>
      <w:pPr>
        <w:rPr>
          <w:rFonts w:hint="eastAsia" w:ascii="仿宋" w:hAnsi="仿宋" w:eastAsia="仿宋" w:cs="仿宋"/>
          <w:b/>
          <w:bCs/>
          <w:color w:val="auto"/>
          <w:szCs w:val="28"/>
          <w:highlight w:val="none"/>
        </w:rPr>
      </w:pPr>
      <w:r>
        <w:rPr>
          <w:rFonts w:hint="eastAsia" w:ascii="仿宋" w:hAnsi="仿宋" w:eastAsia="仿宋" w:cs="仿宋"/>
          <w:b/>
          <w:bCs/>
          <w:color w:val="auto"/>
          <w:szCs w:val="28"/>
          <w:highlight w:val="none"/>
        </w:rPr>
        <w:br w:type="page"/>
      </w:r>
    </w:p>
    <w:p>
      <w:pPr>
        <w:pStyle w:val="36"/>
        <w:spacing w:line="560" w:lineRule="exact"/>
        <w:ind w:firstLine="0" w:firstLineChars="0"/>
        <w:rPr>
          <w:rFonts w:hint="eastAsia" w:ascii="仿宋" w:hAnsi="仿宋" w:eastAsia="仿宋" w:cs="仿宋"/>
          <w:color w:val="auto"/>
          <w:sz w:val="24"/>
          <w:szCs w:val="24"/>
          <w:highlight w:val="none"/>
        </w:rPr>
      </w:pPr>
      <w:r>
        <w:rPr>
          <w:rFonts w:hint="eastAsia" w:ascii="仿宋" w:hAnsi="仿宋" w:eastAsia="仿宋" w:cs="仿宋"/>
          <w:b/>
          <w:bCs/>
          <w:color w:val="auto"/>
          <w:szCs w:val="28"/>
          <w:highlight w:val="none"/>
          <w:lang w:val="en-US" w:eastAsia="zh-CN"/>
        </w:rPr>
        <w:t>14</w:t>
      </w:r>
      <w:r>
        <w:rPr>
          <w:rFonts w:hint="eastAsia" w:ascii="仿宋" w:hAnsi="仿宋" w:eastAsia="仿宋" w:cs="仿宋"/>
          <w:b/>
          <w:bCs/>
          <w:color w:val="auto"/>
          <w:szCs w:val="28"/>
          <w:highlight w:val="none"/>
        </w:rPr>
        <w:t>.《</w:t>
      </w:r>
      <w:r>
        <w:rPr>
          <w:rFonts w:hint="eastAsia" w:ascii="仿宋" w:hAnsi="仿宋" w:eastAsia="仿宋" w:cs="仿宋"/>
          <w:b/>
          <w:bCs/>
          <w:color w:val="auto"/>
          <w:szCs w:val="28"/>
          <w:highlight w:val="none"/>
          <w:lang w:eastAsia="zh-CN"/>
        </w:rPr>
        <w:t>监狱、戒毒企业</w:t>
      </w:r>
      <w:r>
        <w:rPr>
          <w:rFonts w:hint="eastAsia" w:ascii="仿宋" w:hAnsi="仿宋" w:eastAsia="仿宋" w:cs="仿宋"/>
          <w:b/>
          <w:bCs/>
          <w:color w:val="auto"/>
          <w:szCs w:val="28"/>
          <w:highlight w:val="none"/>
        </w:rPr>
        <w:t>声明函》</w:t>
      </w:r>
      <w:r>
        <w:rPr>
          <w:rFonts w:hint="eastAsia" w:ascii="仿宋" w:hAnsi="仿宋" w:eastAsia="仿宋" w:cs="仿宋"/>
          <w:color w:val="auto"/>
          <w:sz w:val="24"/>
          <w:szCs w:val="24"/>
          <w:highlight w:val="none"/>
        </w:rPr>
        <w:t>（格式，若有）</w:t>
      </w:r>
    </w:p>
    <w:p>
      <w:pPr>
        <w:snapToGrid w:val="0"/>
        <w:spacing w:line="560" w:lineRule="exact"/>
        <w:ind w:firstLine="843" w:firstLineChars="300"/>
        <w:rPr>
          <w:rFonts w:hint="eastAsia" w:ascii="仿宋" w:hAnsi="仿宋" w:eastAsia="仿宋" w:cs="仿宋"/>
          <w:b/>
          <w:color w:val="auto"/>
          <w:kern w:val="0"/>
          <w:sz w:val="28"/>
          <w:szCs w:val="28"/>
          <w:highlight w:val="none"/>
          <w:lang w:val="zh-CN"/>
        </w:rPr>
      </w:pPr>
      <w:bookmarkStart w:id="197" w:name="_Hlk18049907"/>
    </w:p>
    <w:p>
      <w:pPr>
        <w:keepNext w:val="0"/>
        <w:keepLines w:val="0"/>
        <w:pageBreakBefore w:val="0"/>
        <w:widowControl w:val="0"/>
        <w:kinsoku/>
        <w:wordWrap/>
        <w:overflowPunct/>
        <w:topLinePunct w:val="0"/>
        <w:autoSpaceDE/>
        <w:autoSpaceDN/>
        <w:bidi w:val="0"/>
        <w:adjustRightInd/>
        <w:snapToGrid w:val="0"/>
        <w:spacing w:line="640" w:lineRule="exact"/>
        <w:ind w:firstLine="1687" w:firstLineChars="600"/>
        <w:textAlignment w:val="auto"/>
        <w:rPr>
          <w:rFonts w:hint="eastAsia" w:ascii="仿宋" w:hAnsi="仿宋" w:eastAsia="仿宋" w:cs="仿宋"/>
          <w:b/>
          <w:strike w:val="0"/>
          <w:dstrike w:val="0"/>
          <w:color w:val="auto"/>
          <w:spacing w:val="6"/>
          <w:sz w:val="21"/>
          <w:szCs w:val="21"/>
          <w:highlight w:val="none"/>
          <w:u w:val="double"/>
          <w:lang w:val="zh-CN"/>
        </w:rPr>
      </w:pPr>
      <w:r>
        <w:rPr>
          <w:rFonts w:hint="eastAsia" w:ascii="仿宋" w:hAnsi="仿宋" w:eastAsia="仿宋" w:cs="仿宋"/>
          <w:b/>
          <w:color w:val="auto"/>
          <w:kern w:val="0"/>
          <w:sz w:val="28"/>
          <w:szCs w:val="28"/>
          <w:highlight w:val="none"/>
          <w:lang w:val="zh-CN"/>
        </w:rPr>
        <w:t>监狱、戒毒企业</w:t>
      </w:r>
      <w:bookmarkEnd w:id="197"/>
      <w:r>
        <w:rPr>
          <w:rFonts w:hint="eastAsia" w:ascii="仿宋" w:hAnsi="仿宋" w:eastAsia="仿宋" w:cs="仿宋"/>
          <w:b/>
          <w:color w:val="auto"/>
          <w:kern w:val="0"/>
          <w:sz w:val="28"/>
          <w:szCs w:val="28"/>
          <w:highlight w:val="none"/>
          <w:lang w:val="zh-CN"/>
        </w:rPr>
        <w:t>声明函</w:t>
      </w:r>
      <w:r>
        <w:rPr>
          <w:rFonts w:hint="eastAsia" w:ascii="仿宋" w:hAnsi="仿宋" w:eastAsia="仿宋" w:cs="仿宋"/>
          <w:b/>
          <w:strike w:val="0"/>
          <w:dstrike w:val="0"/>
          <w:color w:val="auto"/>
          <w:spacing w:val="6"/>
          <w:sz w:val="21"/>
          <w:szCs w:val="21"/>
          <w:highlight w:val="none"/>
          <w:u w:val="double"/>
          <w:lang w:val="zh-CN"/>
        </w:rPr>
        <w:t>（非监狱、戒毒企业不填写）</w:t>
      </w:r>
    </w:p>
    <w:p>
      <w:pPr>
        <w:keepNext w:val="0"/>
        <w:keepLines w:val="0"/>
        <w:pageBreakBefore w:val="0"/>
        <w:widowControl w:val="0"/>
        <w:kinsoku/>
        <w:wordWrap/>
        <w:overflowPunct/>
        <w:topLinePunct w:val="0"/>
        <w:autoSpaceDE/>
        <w:autoSpaceDN/>
        <w:bidi w:val="0"/>
        <w:adjustRightInd/>
        <w:spacing w:line="640" w:lineRule="exact"/>
        <w:ind w:firstLine="504" w:firstLineChars="200"/>
        <w:textAlignment w:val="auto"/>
        <w:rPr>
          <w:rFonts w:hint="eastAsia" w:ascii="仿宋" w:hAnsi="仿宋" w:eastAsia="仿宋" w:cs="仿宋"/>
          <w:color w:val="auto"/>
          <w:spacing w:val="6"/>
          <w:szCs w:val="24"/>
          <w:highlight w:val="none"/>
        </w:rPr>
      </w:pPr>
      <w:r>
        <w:rPr>
          <w:rFonts w:hint="eastAsia" w:ascii="仿宋" w:hAnsi="仿宋" w:eastAsia="仿宋" w:cs="仿宋"/>
          <w:color w:val="auto"/>
          <w:spacing w:val="6"/>
          <w:szCs w:val="24"/>
          <w:highlight w:val="none"/>
        </w:rPr>
        <w:t xml:space="preserve"> </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本单位郑重声明，根据《</w:t>
      </w:r>
      <w:r>
        <w:rPr>
          <w:rFonts w:hint="eastAsia" w:ascii="仿宋" w:hAnsi="仿宋" w:eastAsia="仿宋" w:cs="仿宋"/>
          <w:color w:val="auto"/>
          <w:spacing w:val="-4"/>
          <w:kern w:val="0"/>
          <w:sz w:val="24"/>
          <w:highlight w:val="none"/>
        </w:rPr>
        <w:t>财政部 司法部 关于政府采购支持监狱企业发展有关问题的通知</w:t>
      </w:r>
      <w:r>
        <w:rPr>
          <w:rFonts w:hint="eastAsia" w:ascii="仿宋" w:hAnsi="仿宋" w:eastAsia="仿宋" w:cs="仿宋"/>
          <w:color w:val="auto"/>
          <w:sz w:val="24"/>
          <w:highlight w:val="none"/>
        </w:rPr>
        <w:t>》（财库〔2014〕68号）的规定，本单位为符合条件的监狱、戒毒企业，且本单位参加的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项目采购活动提供本单位制造的货物（由本单位承担工程/提供服务），或者提供其他监狱、戒毒企业制造的货物（不包括使用非监狱、戒毒企业注册商标的货物）。</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本单位对上述声明的真实性负责。如有虚假，将依法承担相应责任。</w:t>
      </w: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p>
    <w:p>
      <w:pPr>
        <w:keepNext w:val="0"/>
        <w:keepLines w:val="0"/>
        <w:pageBreakBefore w:val="0"/>
        <w:widowControl w:val="0"/>
        <w:kinsoku/>
        <w:wordWrap/>
        <w:overflowPunct/>
        <w:topLinePunct w:val="0"/>
        <w:autoSpaceDE/>
        <w:autoSpaceDN/>
        <w:bidi w:val="0"/>
        <w:adjustRightInd/>
        <w:spacing w:line="640" w:lineRule="exact"/>
        <w:ind w:firstLine="480" w:firstLineChars="200"/>
        <w:textAlignment w:val="auto"/>
        <w:rPr>
          <w:rFonts w:hint="eastAsia" w:ascii="仿宋" w:hAnsi="仿宋" w:eastAsia="仿宋" w:cs="仿宋"/>
          <w:color w:val="auto"/>
          <w:sz w:val="24"/>
          <w:highlight w:val="none"/>
        </w:rPr>
      </w:pPr>
    </w:p>
    <w:p>
      <w:pPr>
        <w:keepNext w:val="0"/>
        <w:keepLines w:val="0"/>
        <w:pageBreakBefore w:val="0"/>
        <w:widowControl w:val="0"/>
        <w:tabs>
          <w:tab w:val="left" w:pos="4860"/>
          <w:tab w:val="left" w:pos="8040"/>
          <w:tab w:val="left" w:pos="8160"/>
        </w:tabs>
        <w:kinsoku/>
        <w:wordWrap/>
        <w:overflowPunct/>
        <w:topLinePunct w:val="0"/>
        <w:autoSpaceDE/>
        <w:autoSpaceDN/>
        <w:bidi w:val="0"/>
        <w:adjustRightInd/>
        <w:spacing w:line="640" w:lineRule="exact"/>
        <w:ind w:right="862" w:firstLine="480" w:firstLineChars="200"/>
        <w:jc w:val="center"/>
        <w:textAlignment w:val="auto"/>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            投标人全称（公章）：</w:t>
      </w:r>
      <w:r>
        <w:rPr>
          <w:rFonts w:hint="eastAsia" w:ascii="仿宋" w:hAnsi="仿宋" w:eastAsia="仿宋" w:cs="仿宋"/>
          <w:color w:val="auto"/>
          <w:sz w:val="24"/>
          <w:highlight w:val="none"/>
          <w:u w:val="single"/>
        </w:rPr>
        <w:t xml:space="preserve">                   </w:t>
      </w:r>
    </w:p>
    <w:p>
      <w:pPr>
        <w:keepNext w:val="0"/>
        <w:keepLines w:val="0"/>
        <w:pageBreakBefore w:val="0"/>
        <w:widowControl w:val="0"/>
        <w:tabs>
          <w:tab w:val="left" w:pos="4860"/>
        </w:tabs>
        <w:kinsoku/>
        <w:wordWrap/>
        <w:overflowPunct/>
        <w:topLinePunct w:val="0"/>
        <w:autoSpaceDE/>
        <w:autoSpaceDN/>
        <w:bidi w:val="0"/>
        <w:adjustRightInd/>
        <w:spacing w:line="640" w:lineRule="exact"/>
        <w:ind w:right="1560" w:firstLine="480" w:firstLineChars="200"/>
        <w:jc w:val="center"/>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日  期：</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pPr>
        <w:spacing w:line="360" w:lineRule="auto"/>
        <w:ind w:firstLine="504" w:firstLineChars="200"/>
        <w:rPr>
          <w:rFonts w:hint="eastAsia" w:ascii="仿宋" w:hAnsi="仿宋" w:eastAsia="仿宋" w:cs="仿宋"/>
          <w:b w:val="0"/>
          <w:bCs/>
          <w:color w:val="auto"/>
          <w:spacing w:val="6"/>
          <w:sz w:val="24"/>
          <w:highlight w:val="none"/>
          <w:shd w:val="pct10" w:color="auto" w:fill="FFFFFF"/>
        </w:rPr>
      </w:pPr>
    </w:p>
    <w:p>
      <w:pPr>
        <w:spacing w:line="360" w:lineRule="auto"/>
        <w:ind w:firstLine="444" w:firstLineChars="200"/>
        <w:rPr>
          <w:rFonts w:hint="eastAsia" w:ascii="仿宋" w:hAnsi="仿宋" w:eastAsia="仿宋" w:cs="仿宋"/>
          <w:b w:val="0"/>
          <w:bCs/>
          <w:color w:val="auto"/>
          <w:spacing w:val="6"/>
          <w:sz w:val="21"/>
          <w:szCs w:val="20"/>
          <w:highlight w:val="none"/>
          <w:shd w:val="pct10" w:color="auto" w:fill="FFFFFF"/>
        </w:rPr>
      </w:pPr>
    </w:p>
    <w:p>
      <w:pPr>
        <w:pStyle w:val="2"/>
        <w:rPr>
          <w:rFonts w:hint="eastAsia" w:ascii="仿宋" w:hAnsi="仿宋" w:eastAsia="仿宋" w:cs="仿宋"/>
          <w:b w:val="0"/>
          <w:bCs/>
          <w:color w:val="auto"/>
          <w:spacing w:val="6"/>
          <w:sz w:val="21"/>
          <w:szCs w:val="20"/>
          <w:highlight w:val="none"/>
          <w:shd w:val="pct10" w:color="auto" w:fill="FFFFFF"/>
        </w:rPr>
      </w:pPr>
    </w:p>
    <w:p>
      <w:pPr>
        <w:rPr>
          <w:rFonts w:hint="eastAsia"/>
          <w:color w:val="auto"/>
          <w:highlight w:val="none"/>
        </w:rPr>
      </w:pPr>
    </w:p>
    <w:p>
      <w:pPr>
        <w:spacing w:line="360" w:lineRule="auto"/>
        <w:ind w:firstLine="422" w:firstLineChars="200"/>
        <w:rPr>
          <w:rFonts w:hint="eastAsia" w:ascii="仿宋" w:hAnsi="仿宋" w:eastAsia="仿宋" w:cs="仿宋"/>
          <w:b w:val="0"/>
          <w:bCs/>
          <w:color w:val="auto"/>
          <w:sz w:val="21"/>
          <w:szCs w:val="20"/>
          <w:highlight w:val="none"/>
        </w:rPr>
      </w:pPr>
      <w:r>
        <w:rPr>
          <w:rFonts w:hint="eastAsia" w:ascii="仿宋" w:hAnsi="仿宋" w:eastAsia="仿宋" w:cs="仿宋"/>
          <w:b/>
          <w:bCs w:val="0"/>
          <w:color w:val="auto"/>
          <w:kern w:val="0"/>
          <w:sz w:val="21"/>
          <w:szCs w:val="20"/>
          <w:highlight w:val="none"/>
          <w:lang w:val="zh-CN"/>
        </w:rPr>
        <w:t>备注：投标人提供的《</w:t>
      </w:r>
      <w:r>
        <w:rPr>
          <w:rFonts w:hint="eastAsia" w:ascii="仿宋" w:hAnsi="仿宋" w:eastAsia="仿宋" w:cs="仿宋"/>
          <w:b/>
          <w:bCs w:val="0"/>
          <w:color w:val="auto"/>
          <w:sz w:val="21"/>
          <w:szCs w:val="20"/>
          <w:highlight w:val="none"/>
        </w:rPr>
        <w:t>监狱、戒毒企业</w:t>
      </w:r>
      <w:r>
        <w:rPr>
          <w:rFonts w:hint="eastAsia" w:ascii="仿宋" w:hAnsi="仿宋" w:eastAsia="仿宋" w:cs="仿宋"/>
          <w:b/>
          <w:bCs w:val="0"/>
          <w:color w:val="auto"/>
          <w:kern w:val="0"/>
          <w:sz w:val="21"/>
          <w:szCs w:val="20"/>
          <w:highlight w:val="none"/>
          <w:lang w:val="zh-CN"/>
        </w:rPr>
        <w:t>声明函》必须真实有效，</w:t>
      </w:r>
      <w:r>
        <w:rPr>
          <w:rFonts w:hint="eastAsia" w:ascii="仿宋" w:hAnsi="仿宋" w:eastAsia="仿宋" w:cs="仿宋"/>
          <w:b/>
          <w:bCs w:val="0"/>
          <w:color w:val="auto"/>
          <w:sz w:val="21"/>
          <w:szCs w:val="20"/>
          <w:highlight w:val="none"/>
        </w:rPr>
        <w:t>投标人应当提供由省级以上监狱管理局、戒毒管理局(含新疆生产建设兵团)出具的属于监狱企业的证明文件。</w:t>
      </w: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snapToGrid w:val="0"/>
        <w:spacing w:line="560" w:lineRule="exact"/>
        <w:ind w:firstLine="504" w:firstLineChars="200"/>
        <w:rPr>
          <w:rFonts w:hint="eastAsia" w:ascii="仿宋" w:hAnsi="仿宋" w:eastAsia="仿宋" w:cs="仿宋"/>
          <w:color w:val="auto"/>
          <w:spacing w:val="6"/>
          <w:szCs w:val="24"/>
          <w:highlight w:val="none"/>
        </w:rPr>
      </w:pPr>
    </w:p>
    <w:p>
      <w:pPr>
        <w:rPr>
          <w:rFonts w:hint="eastAsia" w:ascii="宋体" w:hAnsi="宋体"/>
          <w:color w:val="auto"/>
          <w:highlight w:val="none"/>
        </w:rPr>
      </w:pPr>
      <w:r>
        <w:rPr>
          <w:rFonts w:hint="eastAsia" w:ascii="仿宋" w:hAnsi="仿宋" w:eastAsia="仿宋" w:cs="仿宋"/>
          <w:color w:val="auto"/>
          <w:spacing w:val="6"/>
          <w:szCs w:val="24"/>
          <w:highlight w:val="none"/>
        </w:rPr>
        <w:br w:type="page"/>
      </w:r>
    </w:p>
    <w:p>
      <w:pPr>
        <w:spacing w:line="560" w:lineRule="exact"/>
        <w:jc w:val="center"/>
        <w:rPr>
          <w:rFonts w:hint="eastAsia" w:ascii="仿宋" w:hAnsi="仿宋" w:eastAsia="仿宋" w:cs="仿宋"/>
          <w:b/>
          <w:color w:val="auto"/>
          <w:sz w:val="44"/>
          <w:szCs w:val="44"/>
          <w:highlight w:val="none"/>
        </w:rPr>
      </w:pPr>
    </w:p>
    <w:p>
      <w:pPr>
        <w:pStyle w:val="6"/>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jc w:val="center"/>
        <w:rPr>
          <w:rFonts w:hint="eastAsia" w:ascii="仿宋" w:hAnsi="仿宋" w:eastAsia="仿宋" w:cs="仿宋"/>
          <w:b/>
          <w:bCs/>
          <w:color w:val="auto"/>
          <w:sz w:val="48"/>
          <w:szCs w:val="48"/>
          <w:highlight w:val="none"/>
          <w:lang w:val="zh-CN" w:eastAsia="zh-CN"/>
        </w:rPr>
      </w:pPr>
    </w:p>
    <w:p>
      <w:pPr>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zh-CN" w:eastAsia="zh-CN"/>
        </w:rPr>
        <w:t>为政府采购</w:t>
      </w:r>
      <w:r>
        <w:rPr>
          <w:rFonts w:hint="eastAsia" w:ascii="仿宋" w:hAnsi="仿宋" w:eastAsia="仿宋" w:cs="仿宋"/>
          <w:b/>
          <w:bCs/>
          <w:i/>
          <w:iCs/>
          <w:color w:val="auto"/>
          <w:sz w:val="48"/>
          <w:szCs w:val="48"/>
          <w:highlight w:val="none"/>
          <w:lang w:val="en-US" w:eastAsia="zh-CN"/>
        </w:rPr>
        <w:t xml:space="preserve">  我们更专心</w:t>
      </w:r>
    </w:p>
    <w:p>
      <w:pPr>
        <w:pStyle w:val="6"/>
        <w:rPr>
          <w:rFonts w:hint="eastAsia" w:ascii="仿宋" w:hAnsi="仿宋" w:eastAsia="仿宋" w:cs="仿宋"/>
          <w:i/>
          <w:iCs/>
          <w:color w:val="auto"/>
          <w:sz w:val="28"/>
          <w:szCs w:val="22"/>
          <w:highlight w:val="none"/>
          <w:u w:val="none"/>
          <w:lang w:val="en-US" w:eastAsia="zh-CN"/>
        </w:rPr>
      </w:pPr>
      <w:r>
        <w:rPr>
          <w:rFonts w:hint="eastAsia" w:ascii="仿宋" w:hAnsi="仿宋" w:eastAsia="仿宋" w:cs="仿宋"/>
          <w:b/>
          <w:bCs/>
          <w:i/>
          <w:iCs/>
          <w:color w:val="auto"/>
          <w:sz w:val="48"/>
          <w:szCs w:val="48"/>
          <w:highlight w:val="none"/>
          <w:u w:val="none"/>
          <w:lang w:val="en-US" w:eastAsia="zh-CN"/>
        </w:rPr>
        <w:t xml:space="preserve">        </w:t>
      </w:r>
      <w:r>
        <w:rPr>
          <w:rFonts w:hint="eastAsia" w:ascii="仿宋" w:hAnsi="仿宋" w:eastAsia="仿宋" w:cs="仿宋"/>
          <w:b/>
          <w:bCs/>
          <w:i/>
          <w:iCs/>
          <w:color w:val="auto"/>
          <w:sz w:val="48"/>
          <w:szCs w:val="48"/>
          <w:highlight w:val="none"/>
          <w:u w:val="single"/>
          <w:lang w:val="en-US" w:eastAsia="zh-CN"/>
        </w:rPr>
        <w:t xml:space="preserve">                      </w:t>
      </w:r>
      <w:r>
        <w:rPr>
          <w:rFonts w:hint="eastAsia" w:ascii="仿宋" w:hAnsi="仿宋" w:eastAsia="仿宋" w:cs="仿宋"/>
          <w:b/>
          <w:bCs/>
          <w:i/>
          <w:iCs/>
          <w:color w:val="auto"/>
          <w:sz w:val="48"/>
          <w:szCs w:val="48"/>
          <w:highlight w:val="none"/>
          <w:u w:val="none"/>
          <w:lang w:val="en-US" w:eastAsia="zh-CN"/>
        </w:rPr>
        <w:t xml:space="preserve">      </w:t>
      </w:r>
    </w:p>
    <w:p>
      <w:pPr>
        <w:pStyle w:val="6"/>
        <w:jc w:val="center"/>
        <w:rPr>
          <w:rFonts w:hint="eastAsia" w:ascii="仿宋" w:hAnsi="仿宋" w:eastAsia="仿宋" w:cs="仿宋"/>
          <w:b/>
          <w:bCs/>
          <w:i/>
          <w:iCs/>
          <w:color w:val="auto"/>
          <w:sz w:val="48"/>
          <w:szCs w:val="48"/>
          <w:highlight w:val="none"/>
          <w:lang w:val="en-US" w:eastAsia="zh-CN"/>
        </w:rPr>
      </w:pPr>
      <w:r>
        <w:rPr>
          <w:rFonts w:hint="eastAsia" w:ascii="仿宋" w:hAnsi="仿宋" w:eastAsia="仿宋" w:cs="仿宋"/>
          <w:b/>
          <w:bCs/>
          <w:i/>
          <w:iCs/>
          <w:color w:val="auto"/>
          <w:sz w:val="48"/>
          <w:szCs w:val="48"/>
          <w:highlight w:val="none"/>
          <w:lang w:val="en-US" w:eastAsia="zh-CN"/>
        </w:rPr>
        <w:t>做政府采购  我们更用心</w:t>
      </w: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highlight w:val="none"/>
          <w:u w:val="single"/>
          <w:lang w:val="zh-CN" w:eastAsia="zh-CN"/>
        </w:rPr>
      </w:pPr>
    </w:p>
    <w:p>
      <w:pPr>
        <w:pStyle w:val="6"/>
        <w:rPr>
          <w:rFonts w:hint="eastAsia" w:ascii="仿宋" w:hAnsi="仿宋" w:eastAsia="仿宋" w:cs="仿宋"/>
          <w:color w:val="auto"/>
          <w:highlight w:val="none"/>
          <w:lang w:val="zh-CN" w:eastAsia="zh-CN"/>
        </w:rPr>
      </w:pPr>
    </w:p>
    <w:p>
      <w:pPr>
        <w:rPr>
          <w:rFonts w:hint="eastAsia" w:ascii="仿宋" w:hAnsi="仿宋" w:eastAsia="仿宋" w:cs="仿宋"/>
          <w:color w:val="auto"/>
          <w:sz w:val="40"/>
          <w:szCs w:val="40"/>
          <w:highlight w:val="none"/>
          <w:u w:val="none"/>
          <w:lang w:val="zh-CN" w:eastAsia="zh-CN"/>
        </w:rPr>
      </w:pPr>
      <w:r>
        <w:rPr>
          <w:rFonts w:hint="eastAsia" w:ascii="仿宋" w:hAnsi="仿宋" w:eastAsia="仿宋" w:cs="仿宋"/>
          <w:color w:val="auto"/>
          <w:sz w:val="40"/>
          <w:szCs w:val="40"/>
          <w:highlight w:val="none"/>
          <w:u w:val="none"/>
          <w:lang w:val="zh-CN" w:eastAsia="zh-CN"/>
        </w:rPr>
        <w:t>卓安项目管理有限公司</w:t>
      </w:r>
    </w:p>
    <w:p>
      <w:pPr>
        <w:pStyle w:val="6"/>
        <w:rPr>
          <w:rFonts w:hint="eastAsia" w:ascii="仿宋" w:hAnsi="仿宋" w:eastAsia="仿宋" w:cs="仿宋"/>
          <w:color w:val="auto"/>
          <w:highlight w:val="none"/>
          <w:u w:val="single"/>
          <w:lang w:val="en-US" w:eastAsia="zh-CN"/>
        </w:rPr>
      </w:pPr>
      <w:r>
        <w:rPr>
          <w:rFonts w:hint="eastAsia" w:ascii="仿宋" w:hAnsi="仿宋" w:eastAsia="仿宋" w:cs="仿宋"/>
          <w:color w:val="auto"/>
          <w:highlight w:val="none"/>
          <w:u w:val="single"/>
          <w:lang w:val="en-US" w:eastAsia="zh-CN"/>
        </w:rPr>
        <w:t xml:space="preserve">                                                         </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u w:val="none"/>
          <w:lang w:val="zh-CN" w:eastAsia="zh-CN"/>
        </w:rPr>
        <w:t>地</w:t>
      </w:r>
      <w:r>
        <w:rPr>
          <w:rFonts w:hint="eastAsia" w:ascii="仿宋" w:hAnsi="仿宋" w:eastAsia="仿宋" w:cs="仿宋"/>
          <w:b w:val="0"/>
          <w:bCs/>
          <w:color w:val="auto"/>
          <w:sz w:val="24"/>
          <w:szCs w:val="24"/>
          <w:highlight w:val="none"/>
          <w:u w:val="none"/>
          <w:lang w:val="en-US" w:eastAsia="zh-CN"/>
        </w:rPr>
        <w:t xml:space="preserve">    </w:t>
      </w:r>
      <w:r>
        <w:rPr>
          <w:rFonts w:hint="eastAsia" w:ascii="仿宋" w:hAnsi="仿宋" w:eastAsia="仿宋" w:cs="仿宋"/>
          <w:b w:val="0"/>
          <w:bCs/>
          <w:color w:val="auto"/>
          <w:sz w:val="24"/>
          <w:szCs w:val="24"/>
          <w:highlight w:val="none"/>
          <w:u w:val="none"/>
          <w:lang w:val="zh-CN" w:eastAsia="zh-CN"/>
        </w:rPr>
        <w:t>址：</w:t>
      </w:r>
      <w:r>
        <w:rPr>
          <w:rFonts w:hint="eastAsia" w:ascii="仿宋" w:hAnsi="仿宋" w:eastAsia="仿宋" w:cs="仿宋"/>
          <w:b w:val="0"/>
          <w:bCs/>
          <w:color w:val="auto"/>
          <w:sz w:val="24"/>
          <w:szCs w:val="24"/>
          <w:highlight w:val="none"/>
        </w:rPr>
        <w:t>西安市朱雀大街南段1号汇成天玺C座18层</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邮</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编：</w:t>
      </w:r>
      <w:r>
        <w:rPr>
          <w:rFonts w:hint="eastAsia" w:ascii="仿宋" w:hAnsi="仿宋" w:eastAsia="仿宋" w:cs="仿宋"/>
          <w:color w:val="auto"/>
          <w:sz w:val="24"/>
          <w:szCs w:val="24"/>
          <w:highlight w:val="none"/>
          <w:lang w:val="en-US" w:eastAsia="zh-CN"/>
        </w:rPr>
        <w:t>710000</w:t>
      </w:r>
    </w:p>
    <w:p>
      <w:pPr>
        <w:pStyle w:val="6"/>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b w:val="0"/>
          <w:bCs/>
          <w:color w:val="auto"/>
          <w:sz w:val="24"/>
          <w:szCs w:val="24"/>
          <w:highlight w:val="none"/>
          <w:lang w:val="en-US" w:eastAsia="zh-CN"/>
        </w:rPr>
      </w:pPr>
      <w:r>
        <w:rPr>
          <w:rFonts w:hint="eastAsia" w:ascii="仿宋" w:hAnsi="仿宋" w:eastAsia="仿宋" w:cs="仿宋"/>
          <w:b w:val="0"/>
          <w:bCs/>
          <w:color w:val="auto"/>
          <w:sz w:val="24"/>
          <w:szCs w:val="24"/>
          <w:highlight w:val="none"/>
          <w:lang w:eastAsia="zh-CN"/>
        </w:rPr>
        <w:t>电</w:t>
      </w:r>
      <w:r>
        <w:rPr>
          <w:rFonts w:hint="eastAsia" w:ascii="仿宋" w:hAnsi="仿宋" w:eastAsia="仿宋" w:cs="仿宋"/>
          <w:b w:val="0"/>
          <w:bCs/>
          <w:color w:val="auto"/>
          <w:sz w:val="24"/>
          <w:szCs w:val="24"/>
          <w:highlight w:val="none"/>
          <w:lang w:val="en-US" w:eastAsia="zh-CN"/>
        </w:rPr>
        <w:t xml:space="preserve">    </w:t>
      </w:r>
      <w:r>
        <w:rPr>
          <w:rFonts w:hint="eastAsia" w:ascii="仿宋" w:hAnsi="仿宋" w:eastAsia="仿宋" w:cs="仿宋"/>
          <w:b w:val="0"/>
          <w:bCs/>
          <w:color w:val="auto"/>
          <w:sz w:val="24"/>
          <w:szCs w:val="24"/>
          <w:highlight w:val="none"/>
          <w:lang w:eastAsia="zh-CN"/>
        </w:rPr>
        <w:t>话：</w:t>
      </w:r>
      <w:r>
        <w:rPr>
          <w:rFonts w:hint="eastAsia" w:ascii="仿宋" w:hAnsi="仿宋" w:eastAsia="仿宋" w:cs="仿宋"/>
          <w:b w:val="0"/>
          <w:bCs/>
          <w:color w:val="auto"/>
          <w:sz w:val="24"/>
          <w:szCs w:val="24"/>
          <w:highlight w:val="none"/>
          <w:lang w:val="en-US" w:eastAsia="zh-CN"/>
        </w:rPr>
        <w:t>029-87592322</w:t>
      </w:r>
    </w:p>
    <w:p>
      <w:pPr>
        <w:pageBreakBefore w:val="0"/>
        <w:widowControl w:val="0"/>
        <w:kinsoku/>
        <w:wordWrap/>
        <w:overflowPunct/>
        <w:topLinePunct w:val="0"/>
        <w:autoSpaceDE w:val="0"/>
        <w:autoSpaceDN w:val="0"/>
        <w:bidi w:val="0"/>
        <w:adjustRightInd/>
        <w:snapToGrid/>
        <w:spacing w:line="5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电子邮箱：</w:t>
      </w:r>
      <w:r>
        <w:rPr>
          <w:rFonts w:hint="eastAsia" w:ascii="仿宋" w:hAnsi="仿宋" w:eastAsia="仿宋" w:cs="仿宋"/>
          <w:color w:val="auto"/>
          <w:sz w:val="24"/>
          <w:szCs w:val="24"/>
          <w:highlight w:val="none"/>
          <w:lang w:val="en-US" w:eastAsia="zh-CN"/>
        </w:rPr>
        <w:t>zaxmglyxgs@163.com</w:t>
      </w:r>
    </w:p>
    <w:p>
      <w:pPr>
        <w:pStyle w:val="6"/>
        <w:jc w:val="both"/>
        <w:rPr>
          <w:rFonts w:hint="eastAsia" w:ascii="仿宋" w:hAnsi="仿宋" w:eastAsia="仿宋" w:cs="仿宋"/>
          <w:color w:val="auto"/>
          <w:highlight w:val="none"/>
        </w:rPr>
      </w:pPr>
      <w:r>
        <w:rPr>
          <w:rFonts w:hint="eastAsia" w:ascii="仿宋" w:hAnsi="仿宋" w:eastAsia="仿宋" w:cs="仿宋"/>
          <w:color w:val="auto"/>
          <w:highlight w:val="none"/>
          <w:u w:val="single"/>
          <w:lang w:val="en-US" w:eastAsia="zh-CN"/>
        </w:rPr>
        <w:t xml:space="preserve">                                                        </w:t>
      </w:r>
    </w:p>
    <w:sectPr>
      <w:headerReference r:id="rId23" w:type="first"/>
      <w:footerReference r:id="rId25" w:type="first"/>
      <w:footerReference r:id="rId24" w:type="default"/>
      <w:pgSz w:w="11907" w:h="16840"/>
      <w:pgMar w:top="1417" w:right="1134" w:bottom="1417" w:left="1304" w:header="935" w:footer="771" w:gutter="567"/>
      <w:cols w:space="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enlo">
    <w:altName w:val="Segoe Print"/>
    <w:panose1 w:val="00000000000000000000"/>
    <w:charset w:val="00"/>
    <w:family w:val="auto"/>
    <w:pitch w:val="default"/>
    <w:sig w:usb0="00000000" w:usb1="00000000" w:usb2="00000000" w:usb3="00000000" w:csb0="00000000"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宋体" w:hAnsi="宋体"/>
        <w:b/>
      </w:rPr>
    </w:pPr>
  </w:p>
  <w:p>
    <w:pPr>
      <w:spacing w:line="280" w:lineRule="exact"/>
      <w:rPr>
        <w:rFonts w:hint="eastAsia" w:ascii="楷体" w:hAnsi="楷体" w:eastAsia="楷体" w:cs="楷体"/>
        <w:b/>
        <w:sz w:val="18"/>
        <w:szCs w:val="18"/>
        <w:u w:val="single"/>
        <w:lang w:eastAsia="zh-CN"/>
      </w:rPr>
    </w:pPr>
    <w:r>
      <w:rPr>
        <w:sz w:val="18"/>
      </w:rPr>
      <w:pict>
        <v:shape id="_x0000_s2054" o:spid="_x0000_s2054" o:spt="202" type="#_x0000_t202" style="position:absolute;left:0pt;margin-top:13.55pt;height:144pt;width:144pt;mso-position-horizontal:center;mso-position-horizontal-relative:margin;mso-wrap-style:none;z-index:251662336;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spacing w:line="280" w:lineRule="exact"/>
      <w:rPr>
        <w:rFonts w:ascii="楷体" w:hAnsi="楷体" w:eastAsia="楷体" w:cs="楷体"/>
        <w:b/>
        <w:sz w:val="18"/>
        <w:szCs w:val="18"/>
        <w:u w:val="single"/>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rFonts w:ascii="宋体" w:hAnsi="宋体"/>
        <w:b/>
      </w:rPr>
    </w:pPr>
  </w:p>
  <w:p>
    <w:pPr>
      <w:spacing w:line="280" w:lineRule="exact"/>
      <w:rPr>
        <w:rFonts w:hint="eastAsia" w:ascii="仿宋" w:hAnsi="仿宋" w:eastAsia="仿宋" w:cs="仿宋"/>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rPr>
        <w:rFonts w:ascii="楷体" w:hAnsi="楷体" w:eastAsia="楷体" w:cs="楷体"/>
        <w:b/>
        <w:sz w:val="18"/>
        <w:szCs w:val="18"/>
        <w:u w:val="single"/>
      </w:rPr>
    </w:pPr>
    <w:r>
      <w:rPr>
        <w:sz w:val="18"/>
      </w:rPr>
      <w:pict>
        <v:shape id="_x0000_s2053" o:spid="_x0000_s2053" o:spt="202" type="#_x0000_t202" style="position:absolute;left:0pt;margin-top:0.6pt;height:144pt;width:144pt;mso-position-horizontal:center;mso-position-horizontal-relative:margin;mso-wrap-style:none;z-index:251663360;mso-width-relative:page;mso-height-relative:page;" filled="f" stroked="f" coordsize="21600,21600" o:gfxdata="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DOqpS0gAAAAYBAAAPAAAAAAAAAAEA&#10;IAAAACIAAABkcnMvZG93bnJldi54bWxQSwECFAAUAAAACACHTuJA1NWzYBUCAAATBAAADgAAAAAA&#10;AAABACAAAAAhAQAAZHJzL2Uyb0RvYy54bWxQSwUGAAAAAAYABgBZAQAAqA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72</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5" o:spid="_x0000_s2055" o:spt="202" type="#_x0000_t202" style="position:absolute;left:0pt;margin-top:13.55pt;height:144pt;width:144pt;mso-position-horizontal:center;mso-position-horizontal-relative:margin;mso-wrap-style:none;z-index:251668480;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2"/>
      <w:spacing w:line="14" w:lineRule="auto"/>
      <w:ind w:left="0"/>
      <w:rPr>
        <w:sz w:val="20"/>
      </w:rPr>
    </w:pP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7" o:spid="_x0000_s2057" o:spt="202" type="#_x0000_t202" style="position:absolute;left:0pt;margin-top:13.55pt;height:144pt;width:144pt;mso-position-horizontal:center;mso-position-horizontal-relative:margin;mso-wrap-style:none;z-index:251670528;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2"/>
      <w:spacing w:line="14" w:lineRule="auto"/>
      <w:ind w:left="0"/>
      <w:rPr>
        <w:sz w:val="20"/>
      </w:rP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hint="eastAsia" w:ascii="楷体" w:hAnsi="楷体" w:eastAsia="楷体" w:cs="楷体"/>
        <w:b/>
        <w:sz w:val="18"/>
        <w:szCs w:val="18"/>
        <w:u w:val="single"/>
        <w:lang w:eastAsia="zh-CN"/>
      </w:rPr>
    </w:pPr>
    <w:r>
      <w:rPr>
        <w:sz w:val="18"/>
      </w:rPr>
      <w:pict>
        <v:shape id="_x0000_s2056" o:spid="_x0000_s2056" o:spt="202" type="#_x0000_t202" style="position:absolute;left:0pt;margin-top:13.55pt;height:144pt;width:144pt;mso-position-horizontal:center;mso-position-horizontal-relative:margin;mso-wrap-style:none;z-index:251669504;mso-width-relative:page;mso-height-relative:page;" filled="f" stroked="f" coordsize="21600,21600" o:gfxdata="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9IbxLtUAAAAHAQAADwAAAAAAAAAB&#10;ACAAAAAiAAAAZHJzL2Rvd25yZXYueG1sUEsBAhQAFAAAAAgAh07iQBHXJloTAgAAEwQAAA4AAAAA&#10;AAAAAQAgAAAAJAEAAGRycy9lMm9Eb2MueG1sUEsFBgAAAAAGAAYAWQEAAKkFAAAAAA==&#10;">
          <v:path/>
          <v:fill on="f" focussize="0,0"/>
          <v:stroke on="f" weight="0.5pt" joinstyle="miter"/>
          <v:imagedata o:title=""/>
          <o:lock v:ext="edit"/>
          <v:textbox inset="0mm,0mm,0mm,0mm" style="mso-fit-shape-to-text:t;">
            <w:txbxContent>
              <w:p>
                <w:pPr>
                  <w:pStyle w:val="12"/>
                  <w:rPr>
                    <w:rFonts w:eastAsiaTheme="minorEastAsia"/>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76</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rPr>
      <w:t xml:space="preserve">      </w:t>
    </w:r>
    <w:r>
      <w:rPr>
        <w:rFonts w:hint="eastAsia" w:ascii="楷体" w:hAnsi="楷体" w:eastAsia="楷体" w:cs="楷体"/>
        <w:b/>
        <w:sz w:val="18"/>
        <w:szCs w:val="18"/>
        <w:u w:val="single"/>
        <w:lang w:val="en-US" w:eastAsia="zh-CN"/>
      </w:rPr>
      <w:t xml:space="preserve">                                           </w:t>
    </w:r>
    <w:r>
      <w:rPr>
        <w:rFonts w:hint="eastAsia" w:ascii="楷体" w:hAnsi="楷体" w:eastAsia="楷体" w:cs="楷体"/>
        <w:b/>
        <w:sz w:val="18"/>
        <w:szCs w:val="18"/>
        <w:u w:val="single"/>
      </w:rPr>
      <w:t xml:space="preserve">     电 话：029-</w:t>
    </w:r>
    <w:r>
      <w:rPr>
        <w:rFonts w:hint="eastAsia" w:ascii="楷体" w:hAnsi="楷体" w:eastAsia="楷体" w:cs="楷体"/>
        <w:b/>
        <w:sz w:val="18"/>
        <w:szCs w:val="18"/>
        <w:u w:val="single"/>
        <w:lang w:eastAsia="zh-CN"/>
      </w:rPr>
      <w:t>87592322</w:t>
    </w:r>
  </w:p>
  <w:p>
    <w:pPr>
      <w:pStyle w:val="12"/>
      <w:jc w:val="center"/>
      <w:rPr>
        <w:rFonts w:ascii="楷体" w:hAnsi="楷体" w:eastAsia="楷体" w:cs="楷体"/>
        <w:b/>
      </w:rPr>
    </w:pPr>
  </w:p>
  <w:p>
    <w:pPr>
      <w:spacing w:line="280" w:lineRule="exact"/>
      <w:jc w:val="center"/>
      <w:rPr>
        <w:rFonts w:ascii="楷体" w:hAnsi="楷体" w:eastAsia="楷体" w:cs="楷体"/>
        <w:b/>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1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rPr>
        <w:rFonts w:ascii="楷体" w:hAnsi="楷体" w:eastAsia="楷体" w:cs="楷体"/>
        <w:b/>
        <w:sz w:val="18"/>
        <w:szCs w:val="18"/>
        <w:u w:val="single"/>
      </w:rPr>
    </w:pPr>
  </w:p>
  <w:p>
    <w:pPr>
      <w:spacing w:line="280" w:lineRule="exact"/>
      <w:rPr>
        <w:rFonts w:ascii="宋体" w:hAnsi="宋体"/>
        <w:b/>
        <w:sz w:val="21"/>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ascii="楷体" w:hAnsi="楷体" w:eastAsia="楷体" w:cs="楷体"/>
        <w:b/>
        <w:sz w:val="18"/>
        <w:szCs w:val="18"/>
        <w:u w:val="single"/>
      </w:rPr>
    </w:pPr>
  </w:p>
  <w:p>
    <w:pPr>
      <w:pStyle w:val="12"/>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rFonts w:ascii="楷体" w:hAnsi="楷体" w:eastAsia="楷体" w:cs="楷体"/>
        <w:b/>
        <w:sz w:val="18"/>
        <w:szCs w:val="18"/>
        <w:u w:val="single"/>
      </w:rPr>
    </w:pPr>
  </w:p>
  <w:p>
    <w:pPr>
      <w:spacing w:line="280" w:lineRule="exact"/>
      <w:ind w:left="361" w:hanging="361" w:hangingChars="200"/>
      <w:rPr>
        <w:rFonts w:hint="eastAsia" w:ascii="楷体" w:hAnsi="楷体" w:eastAsia="仿宋" w:cs="楷体"/>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rPr>
        <w:rFonts w:ascii="楷体" w:hAnsi="楷体" w:eastAsia="楷体" w:cs="楷体"/>
        <w:b/>
        <w:sz w:val="18"/>
        <w:szCs w:val="18"/>
        <w:u w:val="single"/>
      </w:rPr>
    </w:pPr>
    <w:r>
      <w:rPr>
        <w:sz w:val="18"/>
      </w:rPr>
      <w:pict>
        <v:shape id="_x0000_s2050" o:spid="_x0000_s2050" o:spt="202" type="#_x0000_t202" style="position:absolute;left:0pt;margin-left:187.55pt;margin-top:8.15pt;height:144pt;width:144pt;mso-position-horizontal-relative:margin;mso-wrap-style:none;z-index:251665408;mso-width-relative:page;mso-height-relative:page;" filled="f" stroked="f" coordsize="21600,21600" o:gfxdata="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tpltb1gAAAAoBAAAPAAAAAAAA&#10;AAEAIAAAACIAAABkcnMvZG93bnJldi54bWxQSwECFAAUAAAACACHTuJAgJaWdhQCAAAVBAAADgAA&#10;AAAAAAABACAAAAAlAQAAZHJzL2Uyb0RvYy54bWxQSwUGAAAAAAYABgBZAQAAqw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41</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p>
    <w:pPr>
      <w:spacing w:line="280" w:lineRule="exact"/>
      <w:rPr>
        <w:rFonts w:ascii="宋体" w:hAnsi="宋体"/>
        <w:b/>
        <w:sz w:val="21"/>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rPr>
        <w:b/>
        <w:sz w:val="18"/>
        <w:szCs w:val="18"/>
      </w:rPr>
    </w:pPr>
  </w:p>
  <w:p>
    <w:pPr>
      <w:spacing w:line="280" w:lineRule="exact"/>
      <w:ind w:left="361" w:hanging="361" w:hangingChars="200"/>
      <w:rPr>
        <w:rFonts w:hint="eastAsia" w:ascii="楷体" w:hAnsi="楷体" w:eastAsia="仿宋" w:cs="楷体"/>
        <w:b/>
        <w:sz w:val="18"/>
        <w:szCs w:val="18"/>
        <w:u w:val="single"/>
        <w:lang w:eastAsia="zh-CN"/>
      </w:rPr>
    </w:pPr>
    <w:r>
      <w:rPr>
        <w:rFonts w:hint="eastAsia" w:ascii="仿宋" w:hAnsi="仿宋" w:eastAsia="仿宋" w:cs="仿宋"/>
        <w:b/>
        <w:sz w:val="18"/>
        <w:szCs w:val="18"/>
        <w:u w:val="single"/>
        <w:lang w:eastAsia="zh-CN"/>
      </w:rPr>
      <w:t>卓安项目管理有限公司</w:t>
    </w:r>
    <w:r>
      <w:rPr>
        <w:rFonts w:hint="eastAsia" w:ascii="仿宋" w:hAnsi="仿宋" w:eastAsia="仿宋" w:cs="仿宋"/>
        <w:b/>
        <w:sz w:val="18"/>
        <w:szCs w:val="18"/>
        <w:u w:val="single"/>
      </w:rPr>
      <w:t xml:space="preserve">    </w:t>
    </w:r>
    <w:r>
      <w:rPr>
        <w:rFonts w:hint="eastAsia" w:ascii="仿宋" w:hAnsi="仿宋" w:eastAsia="仿宋" w:cs="仿宋"/>
        <w:b/>
        <w:sz w:val="18"/>
        <w:szCs w:val="18"/>
        <w:u w:val="single"/>
        <w:lang w:val="en-US" w:eastAsia="zh-CN"/>
      </w:rPr>
      <w:t xml:space="preserve">                                                </w:t>
    </w:r>
    <w:r>
      <w:rPr>
        <w:rFonts w:hint="eastAsia" w:ascii="仿宋" w:hAnsi="仿宋" w:eastAsia="仿宋" w:cs="仿宋"/>
        <w:b/>
        <w:sz w:val="18"/>
        <w:szCs w:val="18"/>
        <w:u w:val="single"/>
      </w:rPr>
      <w:t xml:space="preserve">     电 话：029-</w:t>
    </w:r>
    <w:r>
      <w:rPr>
        <w:rFonts w:hint="eastAsia" w:ascii="仿宋" w:hAnsi="仿宋" w:eastAsia="仿宋" w:cs="仿宋"/>
        <w:b/>
        <w:sz w:val="18"/>
        <w:szCs w:val="18"/>
        <w:u w:val="single"/>
        <w:lang w:eastAsia="zh-CN"/>
      </w:rPr>
      <w:t>87592322</w:t>
    </w:r>
  </w:p>
  <w:p>
    <w:pPr>
      <w:spacing w:line="280" w:lineRule="exact"/>
      <w:ind w:left="360" w:hanging="360" w:hangingChars="200"/>
      <w:rPr>
        <w:rFonts w:ascii="楷体" w:hAnsi="楷体" w:eastAsia="楷体" w:cs="楷体"/>
        <w:b/>
        <w:sz w:val="18"/>
        <w:szCs w:val="18"/>
        <w:u w:val="single"/>
      </w:rPr>
    </w:pPr>
    <w:r>
      <w:rPr>
        <w:sz w:val="18"/>
      </w:rPr>
      <w:pict>
        <v:shape id="_x0000_s2049" o:spid="_x0000_s2049" o:spt="202" type="#_x0000_t202" style="position:absolute;left:0pt;margin-top:4.15pt;height:144pt;width:144pt;mso-position-horizontal:center;mso-position-horizontal-relative:margin;mso-wrap-style:none;z-index:251664384;mso-width-relative:page;mso-height-relative:page;" filled="f" stroked="f" coordsize="21600,21600" o:gfxdata="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PWRTc0wAAAAYBAAAPAAAAAAAAAAEA&#10;IAAAACIAAABkcnMvZG93bnJldi54bWxQSwECFAAUAAAACACHTuJAwj4BmRQCAAAVBAAADgAAAAAA&#10;AAABACAAAAAiAQAAZHJzL2Uyb0RvYy54bWxQSwUGAAAAAAYABgBZAQAAqAUAAAAA&#10;">
          <v:path/>
          <v:fill on="f" focussize="0,0"/>
          <v:stroke on="f" weight="0.5pt" joinstyle="miter"/>
          <v:imagedata o:title=""/>
          <o:lock v:ext="edit"/>
          <v:textbox inset="0mm,0mm,0mm,0mm" style="mso-fit-shape-to-text:t;">
            <w:txbxContent>
              <w:p>
                <w:pPr>
                  <w:pStyle w:val="12"/>
                  <w:rPr>
                    <w:rFonts w:ascii="楷体" w:hAnsi="楷体" w:eastAsia="楷体" w:cs="楷体"/>
                  </w:rPr>
                </w:pPr>
                <w:r>
                  <w:rPr>
                    <w:rFonts w:hint="eastAsia" w:ascii="楷体" w:hAnsi="楷体" w:eastAsia="楷体" w:cs="楷体"/>
                  </w:rPr>
                  <w:t xml:space="preserve">第 </w:t>
                </w:r>
                <w:r>
                  <w:rPr>
                    <w:rFonts w:hint="eastAsia" w:ascii="楷体" w:hAnsi="楷体" w:eastAsia="楷体" w:cs="楷体"/>
                  </w:rPr>
                  <w:fldChar w:fldCharType="begin"/>
                </w:r>
                <w:r>
                  <w:rPr>
                    <w:rFonts w:hint="eastAsia" w:ascii="楷体" w:hAnsi="楷体" w:eastAsia="楷体" w:cs="楷体"/>
                  </w:rPr>
                  <w:instrText xml:space="preserve"> PAGE  \* MERGEFORMAT </w:instrText>
                </w:r>
                <w:r>
                  <w:rPr>
                    <w:rFonts w:hint="eastAsia" w:ascii="楷体" w:hAnsi="楷体" w:eastAsia="楷体" w:cs="楷体"/>
                  </w:rPr>
                  <w:fldChar w:fldCharType="separate"/>
                </w:r>
                <w:r>
                  <w:rPr>
                    <w:rFonts w:ascii="楷体" w:hAnsi="楷体" w:eastAsia="楷体" w:cs="楷体"/>
                  </w:rPr>
                  <w:t>1</w:t>
                </w:r>
                <w:r>
                  <w:rPr>
                    <w:rFonts w:hint="eastAsia" w:ascii="楷体" w:hAnsi="楷体" w:eastAsia="楷体" w:cs="楷体"/>
                  </w:rPr>
                  <w:fldChar w:fldCharType="end"/>
                </w:r>
                <w:r>
                  <w:rPr>
                    <w:rFonts w:hint="eastAsia" w:ascii="楷体" w:hAnsi="楷体" w:eastAsia="楷体" w:cs="楷体"/>
                  </w:rPr>
                  <w:t xml:space="preserve"> 页 共 </w:t>
                </w:r>
                <w:r>
                  <w:fldChar w:fldCharType="begin"/>
                </w:r>
                <w:r>
                  <w:instrText xml:space="preserve"> NUMPAGES  \* MERGEFORMAT </w:instrText>
                </w:r>
                <w:r>
                  <w:fldChar w:fldCharType="separate"/>
                </w:r>
                <w:r>
                  <w:rPr>
                    <w:rFonts w:ascii="楷体" w:hAnsi="楷体" w:eastAsia="楷体" w:cs="楷体"/>
                  </w:rPr>
                  <w:t>86</w:t>
                </w:r>
                <w:r>
                  <w:rPr>
                    <w:rFonts w:ascii="楷体" w:hAnsi="楷体" w:eastAsia="楷体" w:cs="楷体"/>
                  </w:rPr>
                  <w:fldChar w:fldCharType="end"/>
                </w:r>
                <w:r>
                  <w:rPr>
                    <w:rFonts w:hint="eastAsia" w:ascii="楷体" w:hAnsi="楷体" w:eastAsia="楷体" w:cs="楷体"/>
                  </w:rPr>
                  <w:t xml:space="preserve"> 页</w:t>
                </w:r>
              </w:p>
            </w:txbxContent>
          </v:textbox>
        </v:shape>
      </w:pict>
    </w:r>
  </w:p>
  <w:p>
    <w:pPr>
      <w:pStyle w:val="1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framePr w:wrap="around" w:vAnchor="text" w:hAnchor="margin" w:xAlign="right" w:y="1"/>
      <w:rPr>
        <w:rStyle w:val="26"/>
        <w:rFonts w:hint="eastAsia"/>
      </w:rPr>
    </w:pP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lang w:val="en-US" w:eastAsia="zh-CN"/>
      </w:rPr>
      <w:t xml:space="preserve">                                                                电话：029-87592322</w:t>
    </w: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rPr>
      <w:t>第</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PAGE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43</w:t>
    </w:r>
    <w:r>
      <w:rPr>
        <w:rFonts w:hint="eastAsia" w:ascii="楷体" w:hAnsi="楷体" w:eastAsia="楷体" w:cs="楷体"/>
        <w:b/>
        <w:sz w:val="18"/>
        <w:szCs w:val="18"/>
      </w:rPr>
      <w:fldChar w:fldCharType="end"/>
    </w:r>
    <w:r>
      <w:rPr>
        <w:rFonts w:hint="eastAsia" w:ascii="楷体" w:hAnsi="楷体" w:eastAsia="楷体" w:cs="楷体"/>
        <w:b/>
        <w:sz w:val="18"/>
        <w:szCs w:val="18"/>
      </w:rPr>
      <w:t>页 共</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NUMPAGES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54</w:t>
    </w:r>
    <w:r>
      <w:rPr>
        <w:rFonts w:hint="eastAsia" w:ascii="楷体" w:hAnsi="楷体" w:eastAsia="楷体" w:cs="楷体"/>
        <w:b/>
        <w:sz w:val="18"/>
        <w:szCs w:val="18"/>
      </w:rPr>
      <w:fldChar w:fldCharType="end"/>
    </w:r>
    <w:r>
      <w:rPr>
        <w:rFonts w:hint="eastAsia" w:ascii="楷体" w:hAnsi="楷体" w:eastAsia="楷体" w:cs="楷体"/>
        <w:b/>
        <w:sz w:val="18"/>
        <w:szCs w:val="18"/>
      </w:rPr>
      <w:t>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u w:val="single"/>
        <w:lang w:eastAsia="zh-CN"/>
      </w:rPr>
      <w:t>卓安项目管理有限公司</w:t>
    </w:r>
    <w:r>
      <w:rPr>
        <w:rFonts w:hint="eastAsia" w:ascii="楷体" w:hAnsi="楷体" w:eastAsia="楷体" w:cs="楷体"/>
        <w:b/>
        <w:sz w:val="18"/>
        <w:szCs w:val="18"/>
        <w:u w:val="single"/>
        <w:lang w:val="en-US" w:eastAsia="zh-CN"/>
      </w:rPr>
      <w:t xml:space="preserve">                                                                  电话：029-87592322</w:t>
    </w:r>
  </w:p>
  <w:p>
    <w:pPr>
      <w:spacing w:line="280" w:lineRule="exact"/>
      <w:jc w:val="center"/>
      <w:rPr>
        <w:rFonts w:hint="eastAsia" w:ascii="楷体" w:hAnsi="楷体" w:eastAsia="楷体" w:cs="楷体"/>
        <w:b/>
        <w:sz w:val="18"/>
        <w:szCs w:val="18"/>
        <w:u w:val="single"/>
        <w:lang w:val="en-US" w:eastAsia="zh-CN"/>
      </w:rPr>
    </w:pPr>
    <w:r>
      <w:rPr>
        <w:rFonts w:hint="eastAsia" w:ascii="楷体" w:hAnsi="楷体" w:eastAsia="楷体" w:cs="楷体"/>
        <w:b/>
        <w:sz w:val="18"/>
        <w:szCs w:val="18"/>
      </w:rPr>
      <w:t>第</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PAGE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42</w:t>
    </w:r>
    <w:r>
      <w:rPr>
        <w:rFonts w:hint="eastAsia" w:ascii="楷体" w:hAnsi="楷体" w:eastAsia="楷体" w:cs="楷体"/>
        <w:b/>
        <w:sz w:val="18"/>
        <w:szCs w:val="18"/>
      </w:rPr>
      <w:fldChar w:fldCharType="end"/>
    </w:r>
    <w:r>
      <w:rPr>
        <w:rFonts w:hint="eastAsia" w:ascii="楷体" w:hAnsi="楷体" w:eastAsia="楷体" w:cs="楷体"/>
        <w:b/>
        <w:sz w:val="18"/>
        <w:szCs w:val="18"/>
      </w:rPr>
      <w:t>页 共</w:t>
    </w:r>
    <w:r>
      <w:rPr>
        <w:rFonts w:hint="eastAsia" w:ascii="楷体" w:hAnsi="楷体" w:eastAsia="楷体" w:cs="楷体"/>
        <w:b/>
        <w:sz w:val="18"/>
        <w:szCs w:val="18"/>
      </w:rPr>
      <w:fldChar w:fldCharType="begin"/>
    </w:r>
    <w:r>
      <w:rPr>
        <w:rFonts w:hint="eastAsia" w:ascii="楷体" w:hAnsi="楷体" w:eastAsia="楷体" w:cs="楷体"/>
        <w:b/>
        <w:sz w:val="18"/>
        <w:szCs w:val="18"/>
      </w:rPr>
      <w:instrText xml:space="preserve"> NUMPAGES  \* Arabic  \* MERGEFORMAT </w:instrText>
    </w:r>
    <w:r>
      <w:rPr>
        <w:rFonts w:hint="eastAsia" w:ascii="楷体" w:hAnsi="楷体" w:eastAsia="楷体" w:cs="楷体"/>
        <w:b/>
        <w:sz w:val="18"/>
        <w:szCs w:val="18"/>
      </w:rPr>
      <w:fldChar w:fldCharType="separate"/>
    </w:r>
    <w:r>
      <w:rPr>
        <w:rFonts w:hint="eastAsia" w:ascii="楷体" w:hAnsi="楷体" w:eastAsia="楷体" w:cs="楷体"/>
        <w:b/>
        <w:sz w:val="18"/>
        <w:szCs w:val="18"/>
      </w:rPr>
      <w:t>54</w:t>
    </w:r>
    <w:r>
      <w:rPr>
        <w:rFonts w:hint="eastAsia" w:ascii="楷体" w:hAnsi="楷体" w:eastAsia="楷体" w:cs="楷体"/>
        <w:b/>
        <w:sz w:val="18"/>
        <w:szCs w:val="18"/>
      </w:rPr>
      <w:fldChar w:fldCharType="end"/>
    </w:r>
    <w:r>
      <w:rPr>
        <w:rFonts w:hint="eastAsia" w:ascii="楷体" w:hAnsi="楷体" w:eastAsia="楷体" w:cs="楷体"/>
        <w:b/>
        <w:sz w:val="18"/>
        <w:szCs w:val="18"/>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both"/>
      <w:rPr>
        <w:rFonts w:ascii="楷体" w:hAnsi="楷体" w:eastAsia="楷体" w:cs="楷体"/>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spacing w:line="440" w:lineRule="exact"/>
      <w:jc w:val="both"/>
      <w:rPr>
        <w:rFonts w:hint="eastAsia" w:ascii="宋体" w:hAnsi="宋体" w:eastAsia="楷体"/>
        <w:u w:val="single"/>
        <w:lang w:eastAsia="zh-CN"/>
      </w:rPr>
    </w:pPr>
  </w:p>
  <w:p>
    <w:pPr>
      <w:pStyle w:val="13"/>
      <w:pBdr>
        <w:bottom w:val="none" w:color="auto" w:sz="0" w:space="1"/>
      </w:pBdr>
      <w:spacing w:line="440" w:lineRule="exact"/>
      <w:jc w:val="both"/>
      <w:rPr>
        <w:rFonts w:ascii="宋体" w:hAnsi="宋体"/>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center"/>
      <w:rPr>
        <w:rFonts w:hint="eastAsia" w:ascii="仿宋" w:hAnsi="仿宋" w:eastAsia="仿宋" w:cs="仿宋"/>
        <w:u w:val="single"/>
        <w:lang w:eastAsia="zh-CN"/>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jc w:val="left"/>
      <w:rPr>
        <w:rFonts w:hint="eastAsia"/>
        <w:lang w:eastAsia="zh-CN"/>
      </w:rPr>
    </w:pPr>
    <w:r>
      <w:rPr>
        <w:rFonts w:hint="eastAsia" w:ascii="仿宋" w:hAnsi="仿宋" w:eastAsia="仿宋" w:cs="仿宋"/>
        <w:b/>
        <w:u w:val="none"/>
        <w:lang w:eastAsia="zh-CN"/>
      </w:rPr>
      <w:t>白河县2022年森林抚育补助项目</w:t>
    </w:r>
    <w:r>
      <w:rPr>
        <w:rFonts w:hint="eastAsia" w:ascii="仿宋" w:hAnsi="仿宋" w:eastAsia="仿宋" w:cs="仿宋"/>
        <w:b/>
        <w:u w:val="none"/>
        <w:lang w:val="en-US" w:eastAsia="zh-CN"/>
      </w:rPr>
      <w:t xml:space="preserve">                                          公开招标文件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jc w:val="left"/>
      <w:rPr>
        <w:rFonts w:hint="eastAsia"/>
      </w:rPr>
    </w:pPr>
    <w:r>
      <w:rPr>
        <w:rFonts w:hint="eastAsia" w:ascii="仿宋" w:hAnsi="仿宋" w:eastAsia="仿宋" w:cs="仿宋"/>
        <w:b/>
        <w:u w:val="none"/>
        <w:lang w:eastAsia="zh-CN"/>
      </w:rPr>
      <w:t>白河县2022年森林抚育补助项目</w:t>
    </w:r>
    <w:r>
      <w:rPr>
        <w:rFonts w:hint="eastAsia" w:ascii="仿宋" w:hAnsi="仿宋" w:eastAsia="仿宋" w:cs="仿宋"/>
        <w:b/>
        <w:u w:val="none"/>
        <w:lang w:val="en-US" w:eastAsia="zh-CN"/>
      </w:rPr>
      <w:t xml:space="preserve">                                          公开招标文件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keepNext w:val="0"/>
      <w:keepLines w:val="0"/>
      <w:pageBreakBefore w:val="0"/>
      <w:widowControl w:val="0"/>
      <w:kinsoku/>
      <w:wordWrap/>
      <w:overflowPunct/>
      <w:topLinePunct w:val="0"/>
      <w:autoSpaceDE/>
      <w:autoSpaceDN/>
      <w:bidi w:val="0"/>
      <w:adjustRightInd/>
      <w:snapToGrid w:val="0"/>
      <w:spacing w:line="520" w:lineRule="exact"/>
      <w:jc w:val="both"/>
      <w:textAlignment w:val="auto"/>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b/>
        <w:u w:val="none"/>
      </w:rPr>
      <w:t xml:space="preserve">   </w:t>
    </w:r>
    <w:r>
      <w:rPr>
        <w:rFonts w:hint="eastAsia" w:ascii="楷体" w:hAnsi="楷体" w:eastAsia="楷体" w:cs="楷体"/>
        <w:b/>
        <w:u w:val="none"/>
        <w:lang w:val="en-US" w:eastAsia="zh-CN"/>
      </w:rPr>
      <w:t xml:space="preserve">                                               </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single" w:color="auto" w:sz="4" w:space="1"/>
      </w:pBdr>
      <w:spacing w:line="440" w:lineRule="exact"/>
      <w:jc w:val="both"/>
      <w:rPr>
        <w:rFonts w:hint="eastAsia"/>
        <w:u w:val="none"/>
        <w:lang w:eastAsia="zh-CN"/>
      </w:rPr>
    </w:pPr>
    <w:r>
      <w:rPr>
        <w:rFonts w:hint="eastAsia" w:ascii="仿宋" w:hAnsi="仿宋" w:eastAsia="仿宋" w:cs="仿宋"/>
        <w:b/>
        <w:u w:val="none"/>
        <w:lang w:eastAsia="zh-CN"/>
      </w:rPr>
      <w:t>渭河高陵段已建成工程维修养护项目</w:t>
    </w:r>
    <w:r>
      <w:rPr>
        <w:rFonts w:hint="eastAsia" w:ascii="仿宋" w:hAnsi="仿宋" w:eastAsia="仿宋" w:cs="仿宋"/>
        <w:b/>
        <w:u w:val="none"/>
        <w:lang w:val="en-US" w:eastAsia="zh-CN"/>
      </w:rPr>
      <w:t xml:space="preserve">                                                   公开招标文件</w:t>
    </w:r>
    <w:r>
      <w:rPr>
        <w:rFonts w:hint="eastAsia" w:ascii="楷体" w:hAnsi="楷体" w:eastAsia="楷体" w:cs="楷体"/>
        <w:b/>
        <w:u w:val="none"/>
        <w:lang w:val="en-US" w:eastAsia="zh-CN"/>
      </w:rPr>
      <w:t xml:space="preserve">                                                          </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keepNext w:val="0"/>
      <w:keepLines w:val="0"/>
      <w:pageBreakBefore w:val="0"/>
      <w:widowControl w:val="0"/>
      <w:pBdr>
        <w:bottom w:val="none" w:color="auto" w:sz="0" w:space="1"/>
      </w:pBdr>
      <w:kinsoku/>
      <w:wordWrap/>
      <w:overflowPunct/>
      <w:topLinePunct w:val="0"/>
      <w:autoSpaceDE/>
      <w:autoSpaceDN/>
      <w:bidi w:val="0"/>
      <w:adjustRightInd/>
      <w:snapToGrid w:val="0"/>
      <w:spacing w:line="480" w:lineRule="exact"/>
      <w:jc w:val="both"/>
      <w:textAlignment w:val="auto"/>
      <w:rPr>
        <w:rFonts w:hint="eastAsia"/>
        <w:u w:val="none"/>
        <w:lang w:eastAsia="zh-CN"/>
      </w:rPr>
    </w:pPr>
    <w:r>
      <w:rPr>
        <w:rFonts w:hint="eastAsia" w:ascii="楷体" w:hAnsi="楷体" w:eastAsia="楷体" w:cs="楷体"/>
        <w:b/>
        <w:u w:val="single"/>
        <w:lang w:eastAsia="zh-CN"/>
      </w:rPr>
      <w:t>渭河高陵段已建成工程维修养护项目</w:t>
    </w:r>
    <w:r>
      <w:rPr>
        <w:rFonts w:hint="eastAsia" w:ascii="楷体" w:hAnsi="楷体" w:eastAsia="楷体" w:cs="楷体"/>
        <w:b/>
        <w:u w:val="single"/>
      </w:rPr>
      <w:t xml:space="preserve">                </w:t>
    </w:r>
    <w:r>
      <w:rPr>
        <w:rFonts w:hint="eastAsia" w:ascii="楷体" w:hAnsi="楷体" w:eastAsia="楷体" w:cs="楷体"/>
        <w:b/>
        <w:u w:val="single"/>
        <w:lang w:val="en-US" w:eastAsia="zh-CN"/>
      </w:rPr>
      <w:t xml:space="preserve">                               公开招标文件                                    </w:t>
    </w:r>
    <w:r>
      <w:rPr>
        <w:rFonts w:hint="eastAsia" w:ascii="楷体" w:hAnsi="楷体" w:eastAsia="楷体" w:cs="楷体"/>
        <w:b/>
        <w:u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63E4A9"/>
    <w:multiLevelType w:val="singleLevel"/>
    <w:tmpl w:val="9A63E4A9"/>
    <w:lvl w:ilvl="0" w:tentative="0">
      <w:start w:val="1"/>
      <w:numFmt w:val="decimal"/>
      <w:suff w:val="nothing"/>
      <w:lvlText w:val="%1、"/>
      <w:lvlJc w:val="left"/>
    </w:lvl>
  </w:abstractNum>
  <w:abstractNum w:abstractNumId="1">
    <w:nsid w:val="B1A07368"/>
    <w:multiLevelType w:val="singleLevel"/>
    <w:tmpl w:val="B1A07368"/>
    <w:lvl w:ilvl="0" w:tentative="0">
      <w:start w:val="1"/>
      <w:numFmt w:val="chineseCounting"/>
      <w:suff w:val="nothing"/>
      <w:lvlText w:val="%1、"/>
      <w:lvlJc w:val="left"/>
      <w:rPr>
        <w:rFonts w:hint="eastAsia"/>
      </w:rPr>
    </w:lvl>
  </w:abstractNum>
  <w:abstractNum w:abstractNumId="2">
    <w:nsid w:val="C5BCF152"/>
    <w:multiLevelType w:val="singleLevel"/>
    <w:tmpl w:val="C5BCF152"/>
    <w:lvl w:ilvl="0" w:tentative="0">
      <w:start w:val="1"/>
      <w:numFmt w:val="decimal"/>
      <w:suff w:val="nothing"/>
      <w:lvlText w:val="%1、"/>
      <w:lvlJc w:val="left"/>
    </w:lvl>
  </w:abstractNum>
  <w:abstractNum w:abstractNumId="3">
    <w:nsid w:val="CA25577A"/>
    <w:multiLevelType w:val="singleLevel"/>
    <w:tmpl w:val="CA25577A"/>
    <w:lvl w:ilvl="0" w:tentative="0">
      <w:start w:val="1"/>
      <w:numFmt w:val="decimal"/>
      <w:suff w:val="nothing"/>
      <w:lvlText w:val="%1、"/>
      <w:lvlJc w:val="left"/>
    </w:lvl>
  </w:abstractNum>
  <w:abstractNum w:abstractNumId="4">
    <w:nsid w:val="D85B9F83"/>
    <w:multiLevelType w:val="singleLevel"/>
    <w:tmpl w:val="D85B9F83"/>
    <w:lvl w:ilvl="0" w:tentative="0">
      <w:start w:val="1"/>
      <w:numFmt w:val="decimal"/>
      <w:lvlText w:val="%1."/>
      <w:lvlJc w:val="left"/>
      <w:pPr>
        <w:tabs>
          <w:tab w:val="left" w:pos="312"/>
        </w:tabs>
      </w:pPr>
    </w:lvl>
  </w:abstractNum>
  <w:abstractNum w:abstractNumId="5">
    <w:nsid w:val="F8DC9CD1"/>
    <w:multiLevelType w:val="singleLevel"/>
    <w:tmpl w:val="F8DC9CD1"/>
    <w:lvl w:ilvl="0" w:tentative="0">
      <w:start w:val="6"/>
      <w:numFmt w:val="chineseCounting"/>
      <w:suff w:val="space"/>
      <w:lvlText w:val="第%1章"/>
      <w:lvlJc w:val="left"/>
      <w:rPr>
        <w:rFonts w:hint="eastAsia"/>
      </w:rPr>
    </w:lvl>
  </w:abstractNum>
  <w:abstractNum w:abstractNumId="6">
    <w:nsid w:val="0000000E"/>
    <w:multiLevelType w:val="singleLevel"/>
    <w:tmpl w:val="0000000E"/>
    <w:lvl w:ilvl="0" w:tentative="0">
      <w:start w:val="2"/>
      <w:numFmt w:val="decimal"/>
      <w:suff w:val="nothing"/>
      <w:lvlText w:val="%1）"/>
      <w:lvlJc w:val="left"/>
    </w:lvl>
  </w:abstractNum>
  <w:abstractNum w:abstractNumId="7">
    <w:nsid w:val="051B5292"/>
    <w:multiLevelType w:val="singleLevel"/>
    <w:tmpl w:val="051B5292"/>
    <w:lvl w:ilvl="0" w:tentative="0">
      <w:start w:val="3"/>
      <w:numFmt w:val="decimal"/>
      <w:lvlText w:val="%1)"/>
      <w:lvlJc w:val="left"/>
      <w:pPr>
        <w:tabs>
          <w:tab w:val="left" w:pos="312"/>
        </w:tabs>
      </w:pPr>
    </w:lvl>
  </w:abstractNum>
  <w:abstractNum w:abstractNumId="8">
    <w:nsid w:val="11517AC5"/>
    <w:multiLevelType w:val="singleLevel"/>
    <w:tmpl w:val="11517AC5"/>
    <w:lvl w:ilvl="0" w:tentative="0">
      <w:start w:val="1"/>
      <w:numFmt w:val="decimal"/>
      <w:suff w:val="nothing"/>
      <w:lvlText w:val="%1、"/>
      <w:lvlJc w:val="left"/>
    </w:lvl>
  </w:abstractNum>
  <w:abstractNum w:abstractNumId="9">
    <w:nsid w:val="18105812"/>
    <w:multiLevelType w:val="singleLevel"/>
    <w:tmpl w:val="18105812"/>
    <w:lvl w:ilvl="0" w:tentative="0">
      <w:start w:val="1"/>
      <w:numFmt w:val="decimal"/>
      <w:lvlText w:val="%1."/>
      <w:lvlJc w:val="left"/>
      <w:pPr>
        <w:tabs>
          <w:tab w:val="left" w:pos="312"/>
        </w:tabs>
      </w:pPr>
    </w:lvl>
  </w:abstractNum>
  <w:abstractNum w:abstractNumId="10">
    <w:nsid w:val="576A36EB"/>
    <w:multiLevelType w:val="singleLevel"/>
    <w:tmpl w:val="576A36EB"/>
    <w:lvl w:ilvl="0" w:tentative="0">
      <w:start w:val="1"/>
      <w:numFmt w:val="decimal"/>
      <w:suff w:val="nothing"/>
      <w:lvlText w:val="（%1）"/>
      <w:lvlJc w:val="left"/>
    </w:lvl>
  </w:abstractNum>
  <w:num w:numId="1">
    <w:abstractNumId w:val="1"/>
  </w:num>
  <w:num w:numId="2">
    <w:abstractNumId w:val="3"/>
  </w:num>
  <w:num w:numId="3">
    <w:abstractNumId w:val="0"/>
  </w:num>
  <w:num w:numId="4">
    <w:abstractNumId w:val="6"/>
  </w:num>
  <w:num w:numId="5">
    <w:abstractNumId w:val="10"/>
  </w:num>
  <w:num w:numId="6">
    <w:abstractNumId w:val="2"/>
  </w:num>
  <w:num w:numId="7">
    <w:abstractNumId w:val="8"/>
  </w:num>
  <w:num w:numId="8">
    <w:abstractNumId w:val="7"/>
  </w:num>
  <w:num w:numId="9">
    <w:abstractNumId w:val="4"/>
  </w:num>
  <w:num w:numId="10">
    <w:abstractNumId w:val="9"/>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Y2ZjZTVlYjc4MTYxOWE0MmI4MTYyZmE4NjhhODg0NWUifQ=="/>
  </w:docVars>
  <w:rsids>
    <w:rsidRoot w:val="00172A27"/>
    <w:rsid w:val="001332BF"/>
    <w:rsid w:val="00212B6B"/>
    <w:rsid w:val="002D1185"/>
    <w:rsid w:val="00374F9B"/>
    <w:rsid w:val="00415775"/>
    <w:rsid w:val="00415DA5"/>
    <w:rsid w:val="00437251"/>
    <w:rsid w:val="004F223F"/>
    <w:rsid w:val="0054681D"/>
    <w:rsid w:val="00622852"/>
    <w:rsid w:val="006512A4"/>
    <w:rsid w:val="007B30B1"/>
    <w:rsid w:val="008563F8"/>
    <w:rsid w:val="00A86B23"/>
    <w:rsid w:val="00B507E4"/>
    <w:rsid w:val="00CA45D3"/>
    <w:rsid w:val="00F35AEF"/>
    <w:rsid w:val="01055DED"/>
    <w:rsid w:val="0112375A"/>
    <w:rsid w:val="012357C5"/>
    <w:rsid w:val="012F2A87"/>
    <w:rsid w:val="01523E16"/>
    <w:rsid w:val="015509EB"/>
    <w:rsid w:val="01555EF6"/>
    <w:rsid w:val="016D5D6E"/>
    <w:rsid w:val="01706EDD"/>
    <w:rsid w:val="01770D23"/>
    <w:rsid w:val="01792237"/>
    <w:rsid w:val="018B4AD5"/>
    <w:rsid w:val="01A9549C"/>
    <w:rsid w:val="01B444B0"/>
    <w:rsid w:val="01B93012"/>
    <w:rsid w:val="01DC0309"/>
    <w:rsid w:val="01E07E04"/>
    <w:rsid w:val="01F6245E"/>
    <w:rsid w:val="020B2B51"/>
    <w:rsid w:val="02261BE3"/>
    <w:rsid w:val="022C51CF"/>
    <w:rsid w:val="023D0CA8"/>
    <w:rsid w:val="0272187E"/>
    <w:rsid w:val="0273481D"/>
    <w:rsid w:val="027B5DA6"/>
    <w:rsid w:val="028E56AC"/>
    <w:rsid w:val="029C5C96"/>
    <w:rsid w:val="029D4595"/>
    <w:rsid w:val="029E1D87"/>
    <w:rsid w:val="02C11121"/>
    <w:rsid w:val="02CA10BB"/>
    <w:rsid w:val="02E00A2B"/>
    <w:rsid w:val="02E24518"/>
    <w:rsid w:val="02EA5B34"/>
    <w:rsid w:val="02EB05EB"/>
    <w:rsid w:val="02F219E1"/>
    <w:rsid w:val="02FE10CF"/>
    <w:rsid w:val="03092897"/>
    <w:rsid w:val="031C45A2"/>
    <w:rsid w:val="032822E5"/>
    <w:rsid w:val="034C621A"/>
    <w:rsid w:val="035A3CDB"/>
    <w:rsid w:val="0363799C"/>
    <w:rsid w:val="03804B01"/>
    <w:rsid w:val="038C2A65"/>
    <w:rsid w:val="03A964DC"/>
    <w:rsid w:val="03AB2AAB"/>
    <w:rsid w:val="03E976DD"/>
    <w:rsid w:val="03F25C0E"/>
    <w:rsid w:val="03F84600"/>
    <w:rsid w:val="0402140E"/>
    <w:rsid w:val="040E606A"/>
    <w:rsid w:val="0413485F"/>
    <w:rsid w:val="042302C3"/>
    <w:rsid w:val="04644B0E"/>
    <w:rsid w:val="048076C9"/>
    <w:rsid w:val="04A35E84"/>
    <w:rsid w:val="04D217E0"/>
    <w:rsid w:val="04EF0188"/>
    <w:rsid w:val="050359C4"/>
    <w:rsid w:val="05145A42"/>
    <w:rsid w:val="05244660"/>
    <w:rsid w:val="0530274E"/>
    <w:rsid w:val="053678C6"/>
    <w:rsid w:val="0544323B"/>
    <w:rsid w:val="055B54AB"/>
    <w:rsid w:val="055F0593"/>
    <w:rsid w:val="057C07ED"/>
    <w:rsid w:val="0582059A"/>
    <w:rsid w:val="05881D5D"/>
    <w:rsid w:val="059F6C93"/>
    <w:rsid w:val="05A207F8"/>
    <w:rsid w:val="05C32147"/>
    <w:rsid w:val="05CC27DB"/>
    <w:rsid w:val="05DC2A3B"/>
    <w:rsid w:val="05E85EDC"/>
    <w:rsid w:val="05EF4934"/>
    <w:rsid w:val="063B2138"/>
    <w:rsid w:val="06424AAD"/>
    <w:rsid w:val="066702F8"/>
    <w:rsid w:val="06730A9B"/>
    <w:rsid w:val="06842B31"/>
    <w:rsid w:val="068968D6"/>
    <w:rsid w:val="068C0996"/>
    <w:rsid w:val="06942BE2"/>
    <w:rsid w:val="06AD6D7A"/>
    <w:rsid w:val="06B81DC9"/>
    <w:rsid w:val="06B90E07"/>
    <w:rsid w:val="06DB69A0"/>
    <w:rsid w:val="074D45F0"/>
    <w:rsid w:val="075409F1"/>
    <w:rsid w:val="077716F8"/>
    <w:rsid w:val="0784427C"/>
    <w:rsid w:val="079C558D"/>
    <w:rsid w:val="07A86BC0"/>
    <w:rsid w:val="07B06814"/>
    <w:rsid w:val="07B1292F"/>
    <w:rsid w:val="07B83524"/>
    <w:rsid w:val="07ED6184"/>
    <w:rsid w:val="08343F08"/>
    <w:rsid w:val="08390C7A"/>
    <w:rsid w:val="084F5E63"/>
    <w:rsid w:val="087361B7"/>
    <w:rsid w:val="08827C33"/>
    <w:rsid w:val="08865858"/>
    <w:rsid w:val="08AE10BB"/>
    <w:rsid w:val="08C40321"/>
    <w:rsid w:val="08C7481E"/>
    <w:rsid w:val="08C916A1"/>
    <w:rsid w:val="08F62F8E"/>
    <w:rsid w:val="09132E62"/>
    <w:rsid w:val="09515C74"/>
    <w:rsid w:val="0952618D"/>
    <w:rsid w:val="096F0401"/>
    <w:rsid w:val="09917F6C"/>
    <w:rsid w:val="09AF7900"/>
    <w:rsid w:val="09B84246"/>
    <w:rsid w:val="09EE72C6"/>
    <w:rsid w:val="0A0018ED"/>
    <w:rsid w:val="0A0C6A2E"/>
    <w:rsid w:val="0A2C39C3"/>
    <w:rsid w:val="0A405FB1"/>
    <w:rsid w:val="0A4B6101"/>
    <w:rsid w:val="0A530AAC"/>
    <w:rsid w:val="0A5663A8"/>
    <w:rsid w:val="0A5D6092"/>
    <w:rsid w:val="0A61759E"/>
    <w:rsid w:val="0A783EE1"/>
    <w:rsid w:val="0A801EA2"/>
    <w:rsid w:val="0A8660B1"/>
    <w:rsid w:val="0A9E5956"/>
    <w:rsid w:val="0AD66945"/>
    <w:rsid w:val="0ADE612F"/>
    <w:rsid w:val="0AF812C0"/>
    <w:rsid w:val="0B1434B9"/>
    <w:rsid w:val="0B295D9A"/>
    <w:rsid w:val="0B297899"/>
    <w:rsid w:val="0B3B7FFF"/>
    <w:rsid w:val="0B421B51"/>
    <w:rsid w:val="0B7715B3"/>
    <w:rsid w:val="0BC065FD"/>
    <w:rsid w:val="0BCA0D0D"/>
    <w:rsid w:val="0BD25B1A"/>
    <w:rsid w:val="0BD42F9A"/>
    <w:rsid w:val="0BF7122A"/>
    <w:rsid w:val="0C1B324A"/>
    <w:rsid w:val="0C394E6F"/>
    <w:rsid w:val="0C7C3AF1"/>
    <w:rsid w:val="0C7F7B3F"/>
    <w:rsid w:val="0C8D0FFD"/>
    <w:rsid w:val="0C9F35C5"/>
    <w:rsid w:val="0CA34C15"/>
    <w:rsid w:val="0CA72F08"/>
    <w:rsid w:val="0CB02C73"/>
    <w:rsid w:val="0CB4444F"/>
    <w:rsid w:val="0CCE1649"/>
    <w:rsid w:val="0CD35D61"/>
    <w:rsid w:val="0CDD25B5"/>
    <w:rsid w:val="0CFC2172"/>
    <w:rsid w:val="0CFD5D54"/>
    <w:rsid w:val="0D0509C0"/>
    <w:rsid w:val="0D0A04D3"/>
    <w:rsid w:val="0D141443"/>
    <w:rsid w:val="0D2A3412"/>
    <w:rsid w:val="0D3C343A"/>
    <w:rsid w:val="0D7414F9"/>
    <w:rsid w:val="0D7504FF"/>
    <w:rsid w:val="0D7541CB"/>
    <w:rsid w:val="0D771362"/>
    <w:rsid w:val="0DCF3745"/>
    <w:rsid w:val="0DDE33AA"/>
    <w:rsid w:val="0DE1433B"/>
    <w:rsid w:val="0DEA2149"/>
    <w:rsid w:val="0DF37BA7"/>
    <w:rsid w:val="0E035AFD"/>
    <w:rsid w:val="0E1C5299"/>
    <w:rsid w:val="0E39784E"/>
    <w:rsid w:val="0E505336"/>
    <w:rsid w:val="0E50645E"/>
    <w:rsid w:val="0E516D66"/>
    <w:rsid w:val="0E613CA6"/>
    <w:rsid w:val="0EAE1199"/>
    <w:rsid w:val="0EC45296"/>
    <w:rsid w:val="0ECD1414"/>
    <w:rsid w:val="0EDC0DEC"/>
    <w:rsid w:val="0F1C53D9"/>
    <w:rsid w:val="0F3B7A08"/>
    <w:rsid w:val="0F3E2722"/>
    <w:rsid w:val="0F473211"/>
    <w:rsid w:val="0F517930"/>
    <w:rsid w:val="0F6E0F54"/>
    <w:rsid w:val="0F730FDF"/>
    <w:rsid w:val="0F851B60"/>
    <w:rsid w:val="0FC85C64"/>
    <w:rsid w:val="0FDD068A"/>
    <w:rsid w:val="0FF2353C"/>
    <w:rsid w:val="10264A11"/>
    <w:rsid w:val="10366258"/>
    <w:rsid w:val="10533972"/>
    <w:rsid w:val="106147DB"/>
    <w:rsid w:val="10656C2B"/>
    <w:rsid w:val="10871698"/>
    <w:rsid w:val="108D5328"/>
    <w:rsid w:val="10BC53AF"/>
    <w:rsid w:val="10BE4AFC"/>
    <w:rsid w:val="10BF4AC4"/>
    <w:rsid w:val="10C71E23"/>
    <w:rsid w:val="10CC79E2"/>
    <w:rsid w:val="10F62C44"/>
    <w:rsid w:val="10F70157"/>
    <w:rsid w:val="1101082A"/>
    <w:rsid w:val="11026414"/>
    <w:rsid w:val="11040411"/>
    <w:rsid w:val="11097885"/>
    <w:rsid w:val="11196266"/>
    <w:rsid w:val="113863E8"/>
    <w:rsid w:val="11440F71"/>
    <w:rsid w:val="114F2F77"/>
    <w:rsid w:val="11625C09"/>
    <w:rsid w:val="11686CB0"/>
    <w:rsid w:val="1194672F"/>
    <w:rsid w:val="11AE5A5C"/>
    <w:rsid w:val="11B22024"/>
    <w:rsid w:val="11E2074A"/>
    <w:rsid w:val="11E410CE"/>
    <w:rsid w:val="11EB0E21"/>
    <w:rsid w:val="11F43656"/>
    <w:rsid w:val="121A542A"/>
    <w:rsid w:val="122C3C50"/>
    <w:rsid w:val="123A265F"/>
    <w:rsid w:val="12441018"/>
    <w:rsid w:val="12636497"/>
    <w:rsid w:val="12802962"/>
    <w:rsid w:val="12837C26"/>
    <w:rsid w:val="12931771"/>
    <w:rsid w:val="12A24466"/>
    <w:rsid w:val="12AB57C6"/>
    <w:rsid w:val="12C66E1B"/>
    <w:rsid w:val="12C701B5"/>
    <w:rsid w:val="130C1DB4"/>
    <w:rsid w:val="132E72DF"/>
    <w:rsid w:val="133A2D10"/>
    <w:rsid w:val="13435AC3"/>
    <w:rsid w:val="137D3F12"/>
    <w:rsid w:val="1381103D"/>
    <w:rsid w:val="13813A05"/>
    <w:rsid w:val="139901A4"/>
    <w:rsid w:val="13A0181A"/>
    <w:rsid w:val="13A5784A"/>
    <w:rsid w:val="13BA1D03"/>
    <w:rsid w:val="13C52B29"/>
    <w:rsid w:val="14090F70"/>
    <w:rsid w:val="140A6FFA"/>
    <w:rsid w:val="14292D22"/>
    <w:rsid w:val="142E6F39"/>
    <w:rsid w:val="143A24B3"/>
    <w:rsid w:val="14442427"/>
    <w:rsid w:val="144A408F"/>
    <w:rsid w:val="146107D5"/>
    <w:rsid w:val="146D0D6E"/>
    <w:rsid w:val="148467C3"/>
    <w:rsid w:val="149C27A3"/>
    <w:rsid w:val="14C00317"/>
    <w:rsid w:val="14C044BD"/>
    <w:rsid w:val="14D07C41"/>
    <w:rsid w:val="14D110EB"/>
    <w:rsid w:val="14EA7F1C"/>
    <w:rsid w:val="14F345D7"/>
    <w:rsid w:val="15206496"/>
    <w:rsid w:val="154E568E"/>
    <w:rsid w:val="15612E6D"/>
    <w:rsid w:val="157647B4"/>
    <w:rsid w:val="15816A00"/>
    <w:rsid w:val="1585678B"/>
    <w:rsid w:val="15A73432"/>
    <w:rsid w:val="15BD216B"/>
    <w:rsid w:val="15E17FEB"/>
    <w:rsid w:val="15FA64EA"/>
    <w:rsid w:val="161E1E16"/>
    <w:rsid w:val="164C117E"/>
    <w:rsid w:val="16605739"/>
    <w:rsid w:val="1688735E"/>
    <w:rsid w:val="16B85F78"/>
    <w:rsid w:val="16C53D60"/>
    <w:rsid w:val="16CB2E16"/>
    <w:rsid w:val="16CD0D30"/>
    <w:rsid w:val="16EE2F79"/>
    <w:rsid w:val="17090F66"/>
    <w:rsid w:val="17102234"/>
    <w:rsid w:val="171505C0"/>
    <w:rsid w:val="17162CA4"/>
    <w:rsid w:val="171921EC"/>
    <w:rsid w:val="171B0B81"/>
    <w:rsid w:val="173338BA"/>
    <w:rsid w:val="173510B8"/>
    <w:rsid w:val="17435062"/>
    <w:rsid w:val="17625B4B"/>
    <w:rsid w:val="17646E49"/>
    <w:rsid w:val="176C1469"/>
    <w:rsid w:val="17AE1FA3"/>
    <w:rsid w:val="17BC0CF5"/>
    <w:rsid w:val="17DE12E7"/>
    <w:rsid w:val="17F6732D"/>
    <w:rsid w:val="18116E71"/>
    <w:rsid w:val="181C111E"/>
    <w:rsid w:val="18275A8E"/>
    <w:rsid w:val="18513CDE"/>
    <w:rsid w:val="18865395"/>
    <w:rsid w:val="18874B24"/>
    <w:rsid w:val="188A78FE"/>
    <w:rsid w:val="18900317"/>
    <w:rsid w:val="189F7A56"/>
    <w:rsid w:val="18B77B2D"/>
    <w:rsid w:val="18BA0CCF"/>
    <w:rsid w:val="18CB7939"/>
    <w:rsid w:val="18FA4C52"/>
    <w:rsid w:val="191275CB"/>
    <w:rsid w:val="19177932"/>
    <w:rsid w:val="191D31E8"/>
    <w:rsid w:val="192D2635"/>
    <w:rsid w:val="19383276"/>
    <w:rsid w:val="1943640C"/>
    <w:rsid w:val="196977F2"/>
    <w:rsid w:val="196C4F56"/>
    <w:rsid w:val="197B498D"/>
    <w:rsid w:val="197B59CB"/>
    <w:rsid w:val="19AD6C6F"/>
    <w:rsid w:val="19B6156E"/>
    <w:rsid w:val="19E768A4"/>
    <w:rsid w:val="1A053724"/>
    <w:rsid w:val="1A3266F8"/>
    <w:rsid w:val="1A3A0D62"/>
    <w:rsid w:val="1A435612"/>
    <w:rsid w:val="1A495756"/>
    <w:rsid w:val="1A4F2F04"/>
    <w:rsid w:val="1A5E1901"/>
    <w:rsid w:val="1A714CC7"/>
    <w:rsid w:val="1A74734D"/>
    <w:rsid w:val="1A80467A"/>
    <w:rsid w:val="1A8E2FFB"/>
    <w:rsid w:val="1A8E45EB"/>
    <w:rsid w:val="1A9A6CA4"/>
    <w:rsid w:val="1AE72B08"/>
    <w:rsid w:val="1B1B4F5A"/>
    <w:rsid w:val="1B503750"/>
    <w:rsid w:val="1B50707D"/>
    <w:rsid w:val="1B525722"/>
    <w:rsid w:val="1B730FBA"/>
    <w:rsid w:val="1BE0539F"/>
    <w:rsid w:val="1BEA36C9"/>
    <w:rsid w:val="1C152E24"/>
    <w:rsid w:val="1C1B7095"/>
    <w:rsid w:val="1C383C46"/>
    <w:rsid w:val="1C632A91"/>
    <w:rsid w:val="1C817A29"/>
    <w:rsid w:val="1C865987"/>
    <w:rsid w:val="1CC542FF"/>
    <w:rsid w:val="1CCD1B66"/>
    <w:rsid w:val="1CD91217"/>
    <w:rsid w:val="1CDC25B0"/>
    <w:rsid w:val="1CF562EB"/>
    <w:rsid w:val="1D0F6716"/>
    <w:rsid w:val="1D172126"/>
    <w:rsid w:val="1D3A4269"/>
    <w:rsid w:val="1D425923"/>
    <w:rsid w:val="1D5F1562"/>
    <w:rsid w:val="1D9474D1"/>
    <w:rsid w:val="1DA60DBD"/>
    <w:rsid w:val="1DB04916"/>
    <w:rsid w:val="1DDF4275"/>
    <w:rsid w:val="1DE5064B"/>
    <w:rsid w:val="1DFC4345"/>
    <w:rsid w:val="1E290DC9"/>
    <w:rsid w:val="1E2C5F17"/>
    <w:rsid w:val="1E4172BC"/>
    <w:rsid w:val="1E4F6E0B"/>
    <w:rsid w:val="1E5A2FDA"/>
    <w:rsid w:val="1E5C4B51"/>
    <w:rsid w:val="1E6964CA"/>
    <w:rsid w:val="1E80551E"/>
    <w:rsid w:val="1E867E3E"/>
    <w:rsid w:val="1EA74D18"/>
    <w:rsid w:val="1EAA4AFF"/>
    <w:rsid w:val="1EB06311"/>
    <w:rsid w:val="1EC60C39"/>
    <w:rsid w:val="1ECF2911"/>
    <w:rsid w:val="1ED11AC5"/>
    <w:rsid w:val="1ED3701A"/>
    <w:rsid w:val="1ED40BEC"/>
    <w:rsid w:val="1EF601FB"/>
    <w:rsid w:val="1EF85284"/>
    <w:rsid w:val="1F097C64"/>
    <w:rsid w:val="1F1B7BE1"/>
    <w:rsid w:val="1F4B5AAB"/>
    <w:rsid w:val="1F5050A3"/>
    <w:rsid w:val="1F554D19"/>
    <w:rsid w:val="1F6223AD"/>
    <w:rsid w:val="1FD3721C"/>
    <w:rsid w:val="1FDA5EC4"/>
    <w:rsid w:val="1FEA44CB"/>
    <w:rsid w:val="1FF64C5A"/>
    <w:rsid w:val="1FF752B6"/>
    <w:rsid w:val="1FFB7F79"/>
    <w:rsid w:val="1FFD1DA0"/>
    <w:rsid w:val="202B1E56"/>
    <w:rsid w:val="203B5D40"/>
    <w:rsid w:val="20520BA1"/>
    <w:rsid w:val="20525340"/>
    <w:rsid w:val="20976CAE"/>
    <w:rsid w:val="20DD65CC"/>
    <w:rsid w:val="20EC3370"/>
    <w:rsid w:val="20F62AAB"/>
    <w:rsid w:val="20F81C87"/>
    <w:rsid w:val="212479FC"/>
    <w:rsid w:val="2125239E"/>
    <w:rsid w:val="212D2AB0"/>
    <w:rsid w:val="217E72AA"/>
    <w:rsid w:val="21A470C7"/>
    <w:rsid w:val="21A5220F"/>
    <w:rsid w:val="21A76E86"/>
    <w:rsid w:val="21A9409D"/>
    <w:rsid w:val="21AF0D0A"/>
    <w:rsid w:val="21D9248D"/>
    <w:rsid w:val="21ED33E6"/>
    <w:rsid w:val="21FB7029"/>
    <w:rsid w:val="220C2809"/>
    <w:rsid w:val="22151983"/>
    <w:rsid w:val="221F065E"/>
    <w:rsid w:val="2238284E"/>
    <w:rsid w:val="224D5266"/>
    <w:rsid w:val="225C1283"/>
    <w:rsid w:val="22631FB1"/>
    <w:rsid w:val="22875A7B"/>
    <w:rsid w:val="228C7A05"/>
    <w:rsid w:val="229B30BA"/>
    <w:rsid w:val="22AB2F38"/>
    <w:rsid w:val="22AE02AF"/>
    <w:rsid w:val="22B97DD7"/>
    <w:rsid w:val="22BB79DA"/>
    <w:rsid w:val="22C30BD7"/>
    <w:rsid w:val="22CA2CE6"/>
    <w:rsid w:val="22CF7972"/>
    <w:rsid w:val="22D06515"/>
    <w:rsid w:val="22D5669C"/>
    <w:rsid w:val="22DD7278"/>
    <w:rsid w:val="231B4679"/>
    <w:rsid w:val="233B18FF"/>
    <w:rsid w:val="233D6F48"/>
    <w:rsid w:val="234D186E"/>
    <w:rsid w:val="235360D7"/>
    <w:rsid w:val="235D306F"/>
    <w:rsid w:val="235F406A"/>
    <w:rsid w:val="238E2AF8"/>
    <w:rsid w:val="23B221C1"/>
    <w:rsid w:val="23B501F5"/>
    <w:rsid w:val="23B94AAA"/>
    <w:rsid w:val="23CB1C0B"/>
    <w:rsid w:val="23E87193"/>
    <w:rsid w:val="240406AE"/>
    <w:rsid w:val="24060E09"/>
    <w:rsid w:val="24173B5E"/>
    <w:rsid w:val="242D1523"/>
    <w:rsid w:val="24350B84"/>
    <w:rsid w:val="24416D82"/>
    <w:rsid w:val="244B501B"/>
    <w:rsid w:val="245840A6"/>
    <w:rsid w:val="24831C33"/>
    <w:rsid w:val="248D64FB"/>
    <w:rsid w:val="249F19ED"/>
    <w:rsid w:val="24C061DB"/>
    <w:rsid w:val="24C063A4"/>
    <w:rsid w:val="24F03545"/>
    <w:rsid w:val="25064086"/>
    <w:rsid w:val="2508510A"/>
    <w:rsid w:val="250F557F"/>
    <w:rsid w:val="252D413F"/>
    <w:rsid w:val="252E255C"/>
    <w:rsid w:val="2536380C"/>
    <w:rsid w:val="25430663"/>
    <w:rsid w:val="254447BD"/>
    <w:rsid w:val="25693605"/>
    <w:rsid w:val="257F78F7"/>
    <w:rsid w:val="259454BD"/>
    <w:rsid w:val="25A02751"/>
    <w:rsid w:val="25A51CCF"/>
    <w:rsid w:val="25B52913"/>
    <w:rsid w:val="25C3506D"/>
    <w:rsid w:val="25E505BC"/>
    <w:rsid w:val="25E649CE"/>
    <w:rsid w:val="25F57456"/>
    <w:rsid w:val="25F609E6"/>
    <w:rsid w:val="260B64D3"/>
    <w:rsid w:val="26380130"/>
    <w:rsid w:val="26452162"/>
    <w:rsid w:val="265570F7"/>
    <w:rsid w:val="2664440E"/>
    <w:rsid w:val="26792478"/>
    <w:rsid w:val="26AD7B8E"/>
    <w:rsid w:val="26BF7B51"/>
    <w:rsid w:val="26C6302D"/>
    <w:rsid w:val="26EB5B51"/>
    <w:rsid w:val="26EE5A36"/>
    <w:rsid w:val="26F50BDB"/>
    <w:rsid w:val="26FE4E7F"/>
    <w:rsid w:val="272969AD"/>
    <w:rsid w:val="272A5FBD"/>
    <w:rsid w:val="272C4EF1"/>
    <w:rsid w:val="272E10E9"/>
    <w:rsid w:val="274C6FFB"/>
    <w:rsid w:val="27513170"/>
    <w:rsid w:val="2759523E"/>
    <w:rsid w:val="275B0BB9"/>
    <w:rsid w:val="277351CB"/>
    <w:rsid w:val="278D0C17"/>
    <w:rsid w:val="27925D43"/>
    <w:rsid w:val="27AF2CA0"/>
    <w:rsid w:val="27B76F7E"/>
    <w:rsid w:val="27C61714"/>
    <w:rsid w:val="27C90A53"/>
    <w:rsid w:val="27F37477"/>
    <w:rsid w:val="2801667A"/>
    <w:rsid w:val="2805783E"/>
    <w:rsid w:val="280E56A9"/>
    <w:rsid w:val="28575C58"/>
    <w:rsid w:val="285B02BE"/>
    <w:rsid w:val="28811AC2"/>
    <w:rsid w:val="28941480"/>
    <w:rsid w:val="289C575D"/>
    <w:rsid w:val="28A21EE1"/>
    <w:rsid w:val="28A4544E"/>
    <w:rsid w:val="28A50596"/>
    <w:rsid w:val="28A86B5F"/>
    <w:rsid w:val="28CB4833"/>
    <w:rsid w:val="28E97F29"/>
    <w:rsid w:val="29253FFF"/>
    <w:rsid w:val="292809E6"/>
    <w:rsid w:val="2938145D"/>
    <w:rsid w:val="294301B4"/>
    <w:rsid w:val="29481585"/>
    <w:rsid w:val="294A6AD1"/>
    <w:rsid w:val="294F363A"/>
    <w:rsid w:val="29610000"/>
    <w:rsid w:val="29843C2C"/>
    <w:rsid w:val="299B3C02"/>
    <w:rsid w:val="29D33A58"/>
    <w:rsid w:val="29EF290B"/>
    <w:rsid w:val="2A2361E0"/>
    <w:rsid w:val="2A377938"/>
    <w:rsid w:val="2A5A1271"/>
    <w:rsid w:val="2AA00955"/>
    <w:rsid w:val="2AB427D3"/>
    <w:rsid w:val="2AB949A8"/>
    <w:rsid w:val="2ACD779E"/>
    <w:rsid w:val="2AD61463"/>
    <w:rsid w:val="2B0330EB"/>
    <w:rsid w:val="2B3F0DEA"/>
    <w:rsid w:val="2B716D0A"/>
    <w:rsid w:val="2B8E79ED"/>
    <w:rsid w:val="2C2B420A"/>
    <w:rsid w:val="2C4A1E77"/>
    <w:rsid w:val="2C4C746B"/>
    <w:rsid w:val="2C5177DB"/>
    <w:rsid w:val="2C5746C9"/>
    <w:rsid w:val="2C6A4DE8"/>
    <w:rsid w:val="2C786E76"/>
    <w:rsid w:val="2C8A3D90"/>
    <w:rsid w:val="2C987202"/>
    <w:rsid w:val="2CA510FE"/>
    <w:rsid w:val="2CBA6142"/>
    <w:rsid w:val="2CD836F5"/>
    <w:rsid w:val="2CD94046"/>
    <w:rsid w:val="2CD94E8D"/>
    <w:rsid w:val="2CF76A56"/>
    <w:rsid w:val="2CFD1BFC"/>
    <w:rsid w:val="2D0D31CA"/>
    <w:rsid w:val="2D1623D7"/>
    <w:rsid w:val="2D1813B0"/>
    <w:rsid w:val="2D2D7366"/>
    <w:rsid w:val="2D5A07CE"/>
    <w:rsid w:val="2D5C786C"/>
    <w:rsid w:val="2D5D7B79"/>
    <w:rsid w:val="2D637222"/>
    <w:rsid w:val="2D7B4BF1"/>
    <w:rsid w:val="2DC055B8"/>
    <w:rsid w:val="2E2D1F06"/>
    <w:rsid w:val="2E407B36"/>
    <w:rsid w:val="2E487979"/>
    <w:rsid w:val="2E506092"/>
    <w:rsid w:val="2E6C4E49"/>
    <w:rsid w:val="2E7E6BE3"/>
    <w:rsid w:val="2E9E012E"/>
    <w:rsid w:val="2EB34123"/>
    <w:rsid w:val="2F01235C"/>
    <w:rsid w:val="2F385D91"/>
    <w:rsid w:val="2F3B117B"/>
    <w:rsid w:val="2F442969"/>
    <w:rsid w:val="2F4E53F7"/>
    <w:rsid w:val="2F726093"/>
    <w:rsid w:val="2F783A2A"/>
    <w:rsid w:val="2F906FF8"/>
    <w:rsid w:val="300B00AC"/>
    <w:rsid w:val="301069EF"/>
    <w:rsid w:val="3012492F"/>
    <w:rsid w:val="303C0946"/>
    <w:rsid w:val="30546F10"/>
    <w:rsid w:val="30804691"/>
    <w:rsid w:val="30A16DC3"/>
    <w:rsid w:val="30B563E7"/>
    <w:rsid w:val="30CC528D"/>
    <w:rsid w:val="30CD4E6D"/>
    <w:rsid w:val="30DC11B0"/>
    <w:rsid w:val="30E952C1"/>
    <w:rsid w:val="30F300DB"/>
    <w:rsid w:val="310C74DD"/>
    <w:rsid w:val="313703B3"/>
    <w:rsid w:val="31377547"/>
    <w:rsid w:val="313E0380"/>
    <w:rsid w:val="31536540"/>
    <w:rsid w:val="3157169C"/>
    <w:rsid w:val="316F12FA"/>
    <w:rsid w:val="317F52E7"/>
    <w:rsid w:val="31C4112D"/>
    <w:rsid w:val="31C613CE"/>
    <w:rsid w:val="31CF19CB"/>
    <w:rsid w:val="31EA07DA"/>
    <w:rsid w:val="32000541"/>
    <w:rsid w:val="3210318C"/>
    <w:rsid w:val="3218445A"/>
    <w:rsid w:val="3228271D"/>
    <w:rsid w:val="325A2FA7"/>
    <w:rsid w:val="325A4E37"/>
    <w:rsid w:val="32756B2E"/>
    <w:rsid w:val="32B93E22"/>
    <w:rsid w:val="32F92C66"/>
    <w:rsid w:val="332330F3"/>
    <w:rsid w:val="332D7CE1"/>
    <w:rsid w:val="332E5EA6"/>
    <w:rsid w:val="334E2B10"/>
    <w:rsid w:val="338D5193"/>
    <w:rsid w:val="33944C88"/>
    <w:rsid w:val="339A6860"/>
    <w:rsid w:val="33A3621B"/>
    <w:rsid w:val="33D1107B"/>
    <w:rsid w:val="33E47652"/>
    <w:rsid w:val="33F84719"/>
    <w:rsid w:val="3403693D"/>
    <w:rsid w:val="340C5601"/>
    <w:rsid w:val="341D5FA7"/>
    <w:rsid w:val="343D19BC"/>
    <w:rsid w:val="344E2DEB"/>
    <w:rsid w:val="34511E57"/>
    <w:rsid w:val="345B07DB"/>
    <w:rsid w:val="34613DEE"/>
    <w:rsid w:val="3469732E"/>
    <w:rsid w:val="34784159"/>
    <w:rsid w:val="3485231F"/>
    <w:rsid w:val="34864294"/>
    <w:rsid w:val="348A089D"/>
    <w:rsid w:val="34954270"/>
    <w:rsid w:val="34AF7F0F"/>
    <w:rsid w:val="34BF3CD1"/>
    <w:rsid w:val="34F75FCE"/>
    <w:rsid w:val="34FB56A9"/>
    <w:rsid w:val="34FF0821"/>
    <w:rsid w:val="350E66D5"/>
    <w:rsid w:val="35125D28"/>
    <w:rsid w:val="351F381C"/>
    <w:rsid w:val="352552E3"/>
    <w:rsid w:val="352A6222"/>
    <w:rsid w:val="352D3B05"/>
    <w:rsid w:val="353648EE"/>
    <w:rsid w:val="3552741C"/>
    <w:rsid w:val="35543CEB"/>
    <w:rsid w:val="355A755C"/>
    <w:rsid w:val="3575320F"/>
    <w:rsid w:val="358B37A9"/>
    <w:rsid w:val="35A04298"/>
    <w:rsid w:val="35A444F0"/>
    <w:rsid w:val="35C672EF"/>
    <w:rsid w:val="35D37514"/>
    <w:rsid w:val="361643BC"/>
    <w:rsid w:val="3635517E"/>
    <w:rsid w:val="36366755"/>
    <w:rsid w:val="365D70AD"/>
    <w:rsid w:val="368708DF"/>
    <w:rsid w:val="368E4B68"/>
    <w:rsid w:val="369008FF"/>
    <w:rsid w:val="36BF5033"/>
    <w:rsid w:val="372C5176"/>
    <w:rsid w:val="374F1BF5"/>
    <w:rsid w:val="376E127D"/>
    <w:rsid w:val="37896CF9"/>
    <w:rsid w:val="379301A5"/>
    <w:rsid w:val="37DB6D52"/>
    <w:rsid w:val="37E6048F"/>
    <w:rsid w:val="37EC3B69"/>
    <w:rsid w:val="37EF0D21"/>
    <w:rsid w:val="37F0245C"/>
    <w:rsid w:val="380931A6"/>
    <w:rsid w:val="380C7A67"/>
    <w:rsid w:val="38413AE0"/>
    <w:rsid w:val="386E6D96"/>
    <w:rsid w:val="387434A8"/>
    <w:rsid w:val="38830142"/>
    <w:rsid w:val="38852DC7"/>
    <w:rsid w:val="38AE2E55"/>
    <w:rsid w:val="38B14AD4"/>
    <w:rsid w:val="38DC3260"/>
    <w:rsid w:val="39187CDF"/>
    <w:rsid w:val="392628AE"/>
    <w:rsid w:val="39406108"/>
    <w:rsid w:val="39414B57"/>
    <w:rsid w:val="39497683"/>
    <w:rsid w:val="397A53E5"/>
    <w:rsid w:val="398B6386"/>
    <w:rsid w:val="39A668D6"/>
    <w:rsid w:val="39BE3330"/>
    <w:rsid w:val="39C35DCF"/>
    <w:rsid w:val="39D57530"/>
    <w:rsid w:val="39E467E3"/>
    <w:rsid w:val="39FD4094"/>
    <w:rsid w:val="3A28763D"/>
    <w:rsid w:val="3A40613F"/>
    <w:rsid w:val="3A475A72"/>
    <w:rsid w:val="3A6E4CBE"/>
    <w:rsid w:val="3A880C34"/>
    <w:rsid w:val="3A8B11DE"/>
    <w:rsid w:val="3AB12744"/>
    <w:rsid w:val="3AF15D15"/>
    <w:rsid w:val="3AF71F37"/>
    <w:rsid w:val="3AFB7764"/>
    <w:rsid w:val="3AFE2B26"/>
    <w:rsid w:val="3B0566D6"/>
    <w:rsid w:val="3B1F1BAD"/>
    <w:rsid w:val="3B314084"/>
    <w:rsid w:val="3B4902C5"/>
    <w:rsid w:val="3B491FFF"/>
    <w:rsid w:val="3B576456"/>
    <w:rsid w:val="3B676B03"/>
    <w:rsid w:val="3B705648"/>
    <w:rsid w:val="3B78389E"/>
    <w:rsid w:val="3B853139"/>
    <w:rsid w:val="3B99017C"/>
    <w:rsid w:val="3B9D0916"/>
    <w:rsid w:val="3B9E48BA"/>
    <w:rsid w:val="3BB95706"/>
    <w:rsid w:val="3BC34FD9"/>
    <w:rsid w:val="3BC80726"/>
    <w:rsid w:val="3BCE49B5"/>
    <w:rsid w:val="3BE12916"/>
    <w:rsid w:val="3BEC5070"/>
    <w:rsid w:val="3BF61A45"/>
    <w:rsid w:val="3BFC0ABB"/>
    <w:rsid w:val="3BFE1F4A"/>
    <w:rsid w:val="3C207D13"/>
    <w:rsid w:val="3C3B203F"/>
    <w:rsid w:val="3C3C316B"/>
    <w:rsid w:val="3C5E7F90"/>
    <w:rsid w:val="3C756E3E"/>
    <w:rsid w:val="3C7C153C"/>
    <w:rsid w:val="3C802B2B"/>
    <w:rsid w:val="3C8214A5"/>
    <w:rsid w:val="3C9670C3"/>
    <w:rsid w:val="3CA06481"/>
    <w:rsid w:val="3CA339C6"/>
    <w:rsid w:val="3CA52204"/>
    <w:rsid w:val="3CAE6D48"/>
    <w:rsid w:val="3CD6135B"/>
    <w:rsid w:val="3CF9519B"/>
    <w:rsid w:val="3D265052"/>
    <w:rsid w:val="3D2F04F7"/>
    <w:rsid w:val="3D3B6738"/>
    <w:rsid w:val="3D7E67B7"/>
    <w:rsid w:val="3D80309E"/>
    <w:rsid w:val="3D9C3270"/>
    <w:rsid w:val="3DCC4131"/>
    <w:rsid w:val="3DD92111"/>
    <w:rsid w:val="3E0C4F21"/>
    <w:rsid w:val="3E122E4D"/>
    <w:rsid w:val="3E136A36"/>
    <w:rsid w:val="3E160C8A"/>
    <w:rsid w:val="3E570181"/>
    <w:rsid w:val="3E697629"/>
    <w:rsid w:val="3E80189E"/>
    <w:rsid w:val="3E812F4E"/>
    <w:rsid w:val="3E836939"/>
    <w:rsid w:val="3E8454A0"/>
    <w:rsid w:val="3E861CB9"/>
    <w:rsid w:val="3E9A677D"/>
    <w:rsid w:val="3EDA2AEE"/>
    <w:rsid w:val="3EDC3C7D"/>
    <w:rsid w:val="3EE4627D"/>
    <w:rsid w:val="3EE93A51"/>
    <w:rsid w:val="3F043ED0"/>
    <w:rsid w:val="3F0C53C6"/>
    <w:rsid w:val="3F1E6A7C"/>
    <w:rsid w:val="3F210EC9"/>
    <w:rsid w:val="3F2B7A13"/>
    <w:rsid w:val="3F3222AD"/>
    <w:rsid w:val="3F335F63"/>
    <w:rsid w:val="3F571E72"/>
    <w:rsid w:val="3F596CF5"/>
    <w:rsid w:val="3F650911"/>
    <w:rsid w:val="3FA60E7C"/>
    <w:rsid w:val="3FC43688"/>
    <w:rsid w:val="3FC5258F"/>
    <w:rsid w:val="3FCE1901"/>
    <w:rsid w:val="3FCE658B"/>
    <w:rsid w:val="3FFC3900"/>
    <w:rsid w:val="4009429C"/>
    <w:rsid w:val="400E4D4D"/>
    <w:rsid w:val="402970A9"/>
    <w:rsid w:val="404006D7"/>
    <w:rsid w:val="404C6422"/>
    <w:rsid w:val="405B2791"/>
    <w:rsid w:val="405E3D07"/>
    <w:rsid w:val="40606C2F"/>
    <w:rsid w:val="407B1A4D"/>
    <w:rsid w:val="408049E1"/>
    <w:rsid w:val="408A2B7E"/>
    <w:rsid w:val="409D3C6E"/>
    <w:rsid w:val="40AB1595"/>
    <w:rsid w:val="40AF007F"/>
    <w:rsid w:val="40B25CC9"/>
    <w:rsid w:val="40BF627F"/>
    <w:rsid w:val="40CE0ED0"/>
    <w:rsid w:val="410F6A02"/>
    <w:rsid w:val="411141F8"/>
    <w:rsid w:val="41227DAF"/>
    <w:rsid w:val="41291E14"/>
    <w:rsid w:val="414413B8"/>
    <w:rsid w:val="41465FC8"/>
    <w:rsid w:val="4156445A"/>
    <w:rsid w:val="41826AE7"/>
    <w:rsid w:val="418402D9"/>
    <w:rsid w:val="419B175C"/>
    <w:rsid w:val="41B67136"/>
    <w:rsid w:val="41D72072"/>
    <w:rsid w:val="41F528B8"/>
    <w:rsid w:val="41FA48BA"/>
    <w:rsid w:val="4228529E"/>
    <w:rsid w:val="422D25F9"/>
    <w:rsid w:val="423546AB"/>
    <w:rsid w:val="424D7A5D"/>
    <w:rsid w:val="42516D59"/>
    <w:rsid w:val="425409F8"/>
    <w:rsid w:val="42625183"/>
    <w:rsid w:val="42767AEE"/>
    <w:rsid w:val="42874D2A"/>
    <w:rsid w:val="428A21A6"/>
    <w:rsid w:val="428B390F"/>
    <w:rsid w:val="42966D5D"/>
    <w:rsid w:val="42AB1075"/>
    <w:rsid w:val="42AB773E"/>
    <w:rsid w:val="42B03B3D"/>
    <w:rsid w:val="42B065B6"/>
    <w:rsid w:val="42D17CD5"/>
    <w:rsid w:val="42DB2D12"/>
    <w:rsid w:val="42F96967"/>
    <w:rsid w:val="43086A11"/>
    <w:rsid w:val="43087C4A"/>
    <w:rsid w:val="431471CA"/>
    <w:rsid w:val="432C071B"/>
    <w:rsid w:val="432C0C29"/>
    <w:rsid w:val="433C731A"/>
    <w:rsid w:val="43816903"/>
    <w:rsid w:val="43941D03"/>
    <w:rsid w:val="43A20D29"/>
    <w:rsid w:val="43B110FB"/>
    <w:rsid w:val="43B31BF9"/>
    <w:rsid w:val="43C50F67"/>
    <w:rsid w:val="43D94BB8"/>
    <w:rsid w:val="43EA0F1F"/>
    <w:rsid w:val="4404189F"/>
    <w:rsid w:val="440B77FD"/>
    <w:rsid w:val="440D7164"/>
    <w:rsid w:val="441D50EC"/>
    <w:rsid w:val="44330DA2"/>
    <w:rsid w:val="44363141"/>
    <w:rsid w:val="443F4C85"/>
    <w:rsid w:val="445E05A4"/>
    <w:rsid w:val="448A2E3A"/>
    <w:rsid w:val="449648D0"/>
    <w:rsid w:val="44986654"/>
    <w:rsid w:val="449B7DBF"/>
    <w:rsid w:val="44CC2609"/>
    <w:rsid w:val="44F84650"/>
    <w:rsid w:val="44FD4940"/>
    <w:rsid w:val="452911C3"/>
    <w:rsid w:val="453110FA"/>
    <w:rsid w:val="45380EAE"/>
    <w:rsid w:val="454C6201"/>
    <w:rsid w:val="454E0A80"/>
    <w:rsid w:val="45607318"/>
    <w:rsid w:val="456B0E9A"/>
    <w:rsid w:val="457A56BB"/>
    <w:rsid w:val="457F0835"/>
    <w:rsid w:val="45BD1FBC"/>
    <w:rsid w:val="45CD3F04"/>
    <w:rsid w:val="45D4449A"/>
    <w:rsid w:val="45D75901"/>
    <w:rsid w:val="45DD1704"/>
    <w:rsid w:val="45DE6F05"/>
    <w:rsid w:val="45ED2C31"/>
    <w:rsid w:val="460652C7"/>
    <w:rsid w:val="46091005"/>
    <w:rsid w:val="46383D12"/>
    <w:rsid w:val="466573DB"/>
    <w:rsid w:val="466B6068"/>
    <w:rsid w:val="4670684F"/>
    <w:rsid w:val="467F6055"/>
    <w:rsid w:val="46992809"/>
    <w:rsid w:val="46B74038"/>
    <w:rsid w:val="46E121E3"/>
    <w:rsid w:val="46E804A0"/>
    <w:rsid w:val="46EF54B5"/>
    <w:rsid w:val="46F705B5"/>
    <w:rsid w:val="47182C2B"/>
    <w:rsid w:val="471E4A10"/>
    <w:rsid w:val="47365880"/>
    <w:rsid w:val="473F58E4"/>
    <w:rsid w:val="475C3211"/>
    <w:rsid w:val="47617BC5"/>
    <w:rsid w:val="47726B9D"/>
    <w:rsid w:val="477570E2"/>
    <w:rsid w:val="47892BE3"/>
    <w:rsid w:val="47A54B82"/>
    <w:rsid w:val="47B55A11"/>
    <w:rsid w:val="47DB0AEF"/>
    <w:rsid w:val="47ED3E2A"/>
    <w:rsid w:val="482468EA"/>
    <w:rsid w:val="48256827"/>
    <w:rsid w:val="482C6905"/>
    <w:rsid w:val="48426317"/>
    <w:rsid w:val="48427ACE"/>
    <w:rsid w:val="4848607E"/>
    <w:rsid w:val="486D3064"/>
    <w:rsid w:val="48855988"/>
    <w:rsid w:val="489D1D0E"/>
    <w:rsid w:val="48A10C08"/>
    <w:rsid w:val="48AE76E2"/>
    <w:rsid w:val="48B7515A"/>
    <w:rsid w:val="48BB4EC6"/>
    <w:rsid w:val="48C267D2"/>
    <w:rsid w:val="48CD6A98"/>
    <w:rsid w:val="48D3168D"/>
    <w:rsid w:val="48DB2CE5"/>
    <w:rsid w:val="48ED73F7"/>
    <w:rsid w:val="493279A7"/>
    <w:rsid w:val="494C6592"/>
    <w:rsid w:val="494D34B4"/>
    <w:rsid w:val="49531DF8"/>
    <w:rsid w:val="49553265"/>
    <w:rsid w:val="495C67D2"/>
    <w:rsid w:val="496421BE"/>
    <w:rsid w:val="497854A4"/>
    <w:rsid w:val="499B4C71"/>
    <w:rsid w:val="499E5BE3"/>
    <w:rsid w:val="49B8210F"/>
    <w:rsid w:val="49BB234A"/>
    <w:rsid w:val="49C63487"/>
    <w:rsid w:val="49DE544A"/>
    <w:rsid w:val="49E65861"/>
    <w:rsid w:val="4A0270C9"/>
    <w:rsid w:val="4A032052"/>
    <w:rsid w:val="4A3E42B1"/>
    <w:rsid w:val="4A531EA6"/>
    <w:rsid w:val="4A540A2C"/>
    <w:rsid w:val="4A583F0B"/>
    <w:rsid w:val="4A5D08DF"/>
    <w:rsid w:val="4A7A41D7"/>
    <w:rsid w:val="4A807380"/>
    <w:rsid w:val="4A840EEF"/>
    <w:rsid w:val="4A8B1860"/>
    <w:rsid w:val="4A946414"/>
    <w:rsid w:val="4A982852"/>
    <w:rsid w:val="4AAE2BCA"/>
    <w:rsid w:val="4ABD4214"/>
    <w:rsid w:val="4B0A3310"/>
    <w:rsid w:val="4B0C1F17"/>
    <w:rsid w:val="4B196120"/>
    <w:rsid w:val="4B20492F"/>
    <w:rsid w:val="4B2E3BBE"/>
    <w:rsid w:val="4B444FB2"/>
    <w:rsid w:val="4B595064"/>
    <w:rsid w:val="4B807E8F"/>
    <w:rsid w:val="4B920889"/>
    <w:rsid w:val="4B9902BB"/>
    <w:rsid w:val="4B996870"/>
    <w:rsid w:val="4BA46E08"/>
    <w:rsid w:val="4BC73B78"/>
    <w:rsid w:val="4BCF201E"/>
    <w:rsid w:val="4C4C4528"/>
    <w:rsid w:val="4C510A38"/>
    <w:rsid w:val="4C573346"/>
    <w:rsid w:val="4C6F418B"/>
    <w:rsid w:val="4C82601B"/>
    <w:rsid w:val="4C8E77FD"/>
    <w:rsid w:val="4CAD6AA6"/>
    <w:rsid w:val="4CAF216E"/>
    <w:rsid w:val="4CB058CB"/>
    <w:rsid w:val="4CB866A1"/>
    <w:rsid w:val="4CD5793B"/>
    <w:rsid w:val="4CD80E01"/>
    <w:rsid w:val="4CDE02B9"/>
    <w:rsid w:val="4CFB5C1C"/>
    <w:rsid w:val="4D0F78F1"/>
    <w:rsid w:val="4D4D0E1D"/>
    <w:rsid w:val="4D4D4426"/>
    <w:rsid w:val="4D4E796F"/>
    <w:rsid w:val="4D5D085A"/>
    <w:rsid w:val="4D7B752F"/>
    <w:rsid w:val="4D9438AB"/>
    <w:rsid w:val="4D995F1E"/>
    <w:rsid w:val="4DC75FAC"/>
    <w:rsid w:val="4DCD3B45"/>
    <w:rsid w:val="4DD32B18"/>
    <w:rsid w:val="4DEC558E"/>
    <w:rsid w:val="4DF22D5D"/>
    <w:rsid w:val="4E0E54C5"/>
    <w:rsid w:val="4E1227F0"/>
    <w:rsid w:val="4E2D7430"/>
    <w:rsid w:val="4E2E2497"/>
    <w:rsid w:val="4E332B5E"/>
    <w:rsid w:val="4E487814"/>
    <w:rsid w:val="4E5F101B"/>
    <w:rsid w:val="4EE964BF"/>
    <w:rsid w:val="4F313C6F"/>
    <w:rsid w:val="4F4157F6"/>
    <w:rsid w:val="4F6A2B78"/>
    <w:rsid w:val="4F762AE3"/>
    <w:rsid w:val="4F920A90"/>
    <w:rsid w:val="4F9F3258"/>
    <w:rsid w:val="4F9F3566"/>
    <w:rsid w:val="4FAF0352"/>
    <w:rsid w:val="4FB3614F"/>
    <w:rsid w:val="4FBC4B75"/>
    <w:rsid w:val="502B58CD"/>
    <w:rsid w:val="503324EC"/>
    <w:rsid w:val="50432740"/>
    <w:rsid w:val="504D48EB"/>
    <w:rsid w:val="506177CB"/>
    <w:rsid w:val="507C3FF5"/>
    <w:rsid w:val="50950193"/>
    <w:rsid w:val="50B535BC"/>
    <w:rsid w:val="50D05E44"/>
    <w:rsid w:val="50D530A4"/>
    <w:rsid w:val="50D7600E"/>
    <w:rsid w:val="50E5416E"/>
    <w:rsid w:val="511E7282"/>
    <w:rsid w:val="516548A9"/>
    <w:rsid w:val="517C6CD3"/>
    <w:rsid w:val="5180691B"/>
    <w:rsid w:val="518220A6"/>
    <w:rsid w:val="518E638D"/>
    <w:rsid w:val="519679D9"/>
    <w:rsid w:val="51E23E78"/>
    <w:rsid w:val="51E64A93"/>
    <w:rsid w:val="51E963CB"/>
    <w:rsid w:val="520170F5"/>
    <w:rsid w:val="52123177"/>
    <w:rsid w:val="521F4AC1"/>
    <w:rsid w:val="522B490F"/>
    <w:rsid w:val="522C4379"/>
    <w:rsid w:val="52315D30"/>
    <w:rsid w:val="5283528F"/>
    <w:rsid w:val="52985353"/>
    <w:rsid w:val="52AA7CFA"/>
    <w:rsid w:val="52B171E6"/>
    <w:rsid w:val="52D5256E"/>
    <w:rsid w:val="52E80195"/>
    <w:rsid w:val="52E82C9B"/>
    <w:rsid w:val="52E846A6"/>
    <w:rsid w:val="530C2966"/>
    <w:rsid w:val="532129F8"/>
    <w:rsid w:val="5333575C"/>
    <w:rsid w:val="53431BBB"/>
    <w:rsid w:val="53501C8A"/>
    <w:rsid w:val="53942A5B"/>
    <w:rsid w:val="539A0A2E"/>
    <w:rsid w:val="539C7BB1"/>
    <w:rsid w:val="53A254EF"/>
    <w:rsid w:val="53B74C02"/>
    <w:rsid w:val="53CA60F3"/>
    <w:rsid w:val="53E37A46"/>
    <w:rsid w:val="53E60B87"/>
    <w:rsid w:val="53E813CD"/>
    <w:rsid w:val="53F54EE0"/>
    <w:rsid w:val="54284D48"/>
    <w:rsid w:val="542B2B59"/>
    <w:rsid w:val="542C0D25"/>
    <w:rsid w:val="54315192"/>
    <w:rsid w:val="54523FAB"/>
    <w:rsid w:val="54606D4B"/>
    <w:rsid w:val="54642B28"/>
    <w:rsid w:val="54737B83"/>
    <w:rsid w:val="54767A69"/>
    <w:rsid w:val="54800851"/>
    <w:rsid w:val="548D1DAF"/>
    <w:rsid w:val="549E6667"/>
    <w:rsid w:val="54B83081"/>
    <w:rsid w:val="54C348DC"/>
    <w:rsid w:val="54D27679"/>
    <w:rsid w:val="552D41F8"/>
    <w:rsid w:val="553A11F2"/>
    <w:rsid w:val="554A1014"/>
    <w:rsid w:val="554D547D"/>
    <w:rsid w:val="558504DB"/>
    <w:rsid w:val="5599207C"/>
    <w:rsid w:val="55B300C2"/>
    <w:rsid w:val="55BA23F6"/>
    <w:rsid w:val="55C17A4A"/>
    <w:rsid w:val="55C776A4"/>
    <w:rsid w:val="55D93944"/>
    <w:rsid w:val="55E0012B"/>
    <w:rsid w:val="55F16398"/>
    <w:rsid w:val="55FA5978"/>
    <w:rsid w:val="560471D1"/>
    <w:rsid w:val="56193548"/>
    <w:rsid w:val="5620288D"/>
    <w:rsid w:val="56262D0A"/>
    <w:rsid w:val="56303DF0"/>
    <w:rsid w:val="5645459C"/>
    <w:rsid w:val="564845D6"/>
    <w:rsid w:val="56497A16"/>
    <w:rsid w:val="564B1CD3"/>
    <w:rsid w:val="56523972"/>
    <w:rsid w:val="56526786"/>
    <w:rsid w:val="568D4159"/>
    <w:rsid w:val="569017FC"/>
    <w:rsid w:val="56A5323D"/>
    <w:rsid w:val="56B557FE"/>
    <w:rsid w:val="56C90586"/>
    <w:rsid w:val="56CF5F2C"/>
    <w:rsid w:val="56D20E62"/>
    <w:rsid w:val="56E53FAA"/>
    <w:rsid w:val="56F15FB4"/>
    <w:rsid w:val="57083A80"/>
    <w:rsid w:val="570F4518"/>
    <w:rsid w:val="57101FBF"/>
    <w:rsid w:val="57192727"/>
    <w:rsid w:val="572C1D0F"/>
    <w:rsid w:val="572E2ABD"/>
    <w:rsid w:val="57393751"/>
    <w:rsid w:val="57511B9A"/>
    <w:rsid w:val="575B1004"/>
    <w:rsid w:val="5771718C"/>
    <w:rsid w:val="577D318D"/>
    <w:rsid w:val="5791578D"/>
    <w:rsid w:val="57986AAA"/>
    <w:rsid w:val="57A273D9"/>
    <w:rsid w:val="57AF5A40"/>
    <w:rsid w:val="57EC1C9C"/>
    <w:rsid w:val="58022941"/>
    <w:rsid w:val="581C3819"/>
    <w:rsid w:val="58277B25"/>
    <w:rsid w:val="5830410B"/>
    <w:rsid w:val="58310F67"/>
    <w:rsid w:val="583A1FAC"/>
    <w:rsid w:val="583E68FD"/>
    <w:rsid w:val="587E5B83"/>
    <w:rsid w:val="589A6EED"/>
    <w:rsid w:val="58BE78AD"/>
    <w:rsid w:val="58CA70BC"/>
    <w:rsid w:val="58CF664E"/>
    <w:rsid w:val="58EA5F93"/>
    <w:rsid w:val="58EC223F"/>
    <w:rsid w:val="58ED6689"/>
    <w:rsid w:val="58FA7CC7"/>
    <w:rsid w:val="59031290"/>
    <w:rsid w:val="590F1BC4"/>
    <w:rsid w:val="5919022D"/>
    <w:rsid w:val="591D661A"/>
    <w:rsid w:val="592A6680"/>
    <w:rsid w:val="59402032"/>
    <w:rsid w:val="59464947"/>
    <w:rsid w:val="594A6B94"/>
    <w:rsid w:val="594D270F"/>
    <w:rsid w:val="595405FB"/>
    <w:rsid w:val="59797E10"/>
    <w:rsid w:val="598007BD"/>
    <w:rsid w:val="59831117"/>
    <w:rsid w:val="599D1711"/>
    <w:rsid w:val="59A32903"/>
    <w:rsid w:val="59B94F00"/>
    <w:rsid w:val="59CF7EFF"/>
    <w:rsid w:val="59DD38F5"/>
    <w:rsid w:val="59E85E60"/>
    <w:rsid w:val="59F332C9"/>
    <w:rsid w:val="59FB19D7"/>
    <w:rsid w:val="59FC1DF4"/>
    <w:rsid w:val="5A207B2C"/>
    <w:rsid w:val="5A2D57D7"/>
    <w:rsid w:val="5A3C0B29"/>
    <w:rsid w:val="5A646519"/>
    <w:rsid w:val="5A6E4321"/>
    <w:rsid w:val="5A6F07AD"/>
    <w:rsid w:val="5A743B23"/>
    <w:rsid w:val="5A786D03"/>
    <w:rsid w:val="5A8810C1"/>
    <w:rsid w:val="5A953CA8"/>
    <w:rsid w:val="5AA4013C"/>
    <w:rsid w:val="5AAA217B"/>
    <w:rsid w:val="5ADC5E19"/>
    <w:rsid w:val="5B0153D1"/>
    <w:rsid w:val="5B1D4B5D"/>
    <w:rsid w:val="5B245381"/>
    <w:rsid w:val="5B266B67"/>
    <w:rsid w:val="5BA004B1"/>
    <w:rsid w:val="5BA64A59"/>
    <w:rsid w:val="5BB42013"/>
    <w:rsid w:val="5BC71BFF"/>
    <w:rsid w:val="5BCE3661"/>
    <w:rsid w:val="5BDE4B2E"/>
    <w:rsid w:val="5BE6497C"/>
    <w:rsid w:val="5BF53D6D"/>
    <w:rsid w:val="5BF66452"/>
    <w:rsid w:val="5BFE2754"/>
    <w:rsid w:val="5C00251E"/>
    <w:rsid w:val="5C0827EA"/>
    <w:rsid w:val="5C0C5517"/>
    <w:rsid w:val="5C243A94"/>
    <w:rsid w:val="5C362DC6"/>
    <w:rsid w:val="5C684A5F"/>
    <w:rsid w:val="5C7C22C9"/>
    <w:rsid w:val="5C8167D8"/>
    <w:rsid w:val="5CCB049C"/>
    <w:rsid w:val="5CED3C1B"/>
    <w:rsid w:val="5CF00A54"/>
    <w:rsid w:val="5D0C56FA"/>
    <w:rsid w:val="5D104C52"/>
    <w:rsid w:val="5D1610E5"/>
    <w:rsid w:val="5D225E96"/>
    <w:rsid w:val="5D740D6B"/>
    <w:rsid w:val="5D935CC9"/>
    <w:rsid w:val="5D9929C5"/>
    <w:rsid w:val="5DA344BD"/>
    <w:rsid w:val="5DBE423D"/>
    <w:rsid w:val="5DC00E21"/>
    <w:rsid w:val="5DE25B52"/>
    <w:rsid w:val="5DE84681"/>
    <w:rsid w:val="5E004546"/>
    <w:rsid w:val="5E223849"/>
    <w:rsid w:val="5E52320C"/>
    <w:rsid w:val="5E604A1F"/>
    <w:rsid w:val="5E64188D"/>
    <w:rsid w:val="5E781EA8"/>
    <w:rsid w:val="5E9D2BEC"/>
    <w:rsid w:val="5EEC5CE5"/>
    <w:rsid w:val="5EF731E5"/>
    <w:rsid w:val="5F004E6E"/>
    <w:rsid w:val="5F010358"/>
    <w:rsid w:val="5F095904"/>
    <w:rsid w:val="5F232B8A"/>
    <w:rsid w:val="5F285753"/>
    <w:rsid w:val="5F3B01E3"/>
    <w:rsid w:val="5F3D041A"/>
    <w:rsid w:val="5F454D59"/>
    <w:rsid w:val="5F4F0951"/>
    <w:rsid w:val="5F5D0329"/>
    <w:rsid w:val="5F615F3B"/>
    <w:rsid w:val="5F660454"/>
    <w:rsid w:val="5FA25FD2"/>
    <w:rsid w:val="5FAF21EE"/>
    <w:rsid w:val="5FAF3AE3"/>
    <w:rsid w:val="5FD84CCD"/>
    <w:rsid w:val="5FD95DF5"/>
    <w:rsid w:val="5FE17C6A"/>
    <w:rsid w:val="5FF02147"/>
    <w:rsid w:val="60153E06"/>
    <w:rsid w:val="601B7860"/>
    <w:rsid w:val="603A6C4E"/>
    <w:rsid w:val="607F4815"/>
    <w:rsid w:val="60C66FF8"/>
    <w:rsid w:val="60C715F3"/>
    <w:rsid w:val="60C831F4"/>
    <w:rsid w:val="60CA46DE"/>
    <w:rsid w:val="60DA1FB7"/>
    <w:rsid w:val="61045E17"/>
    <w:rsid w:val="61097C32"/>
    <w:rsid w:val="610C045C"/>
    <w:rsid w:val="612C2C0F"/>
    <w:rsid w:val="6139596E"/>
    <w:rsid w:val="616113F3"/>
    <w:rsid w:val="616926CF"/>
    <w:rsid w:val="616E4608"/>
    <w:rsid w:val="61955C9E"/>
    <w:rsid w:val="61964B23"/>
    <w:rsid w:val="61AC2EA4"/>
    <w:rsid w:val="61B13762"/>
    <w:rsid w:val="61BF0A39"/>
    <w:rsid w:val="61C94D2F"/>
    <w:rsid w:val="61D23AE4"/>
    <w:rsid w:val="61DF72E6"/>
    <w:rsid w:val="61FC40A6"/>
    <w:rsid w:val="620A7850"/>
    <w:rsid w:val="621D6280"/>
    <w:rsid w:val="622B713B"/>
    <w:rsid w:val="62431023"/>
    <w:rsid w:val="626F5370"/>
    <w:rsid w:val="62925A24"/>
    <w:rsid w:val="62947959"/>
    <w:rsid w:val="629F4600"/>
    <w:rsid w:val="62B27BC4"/>
    <w:rsid w:val="62B3264F"/>
    <w:rsid w:val="62CC63A3"/>
    <w:rsid w:val="62D13DAB"/>
    <w:rsid w:val="62D949A4"/>
    <w:rsid w:val="6308497A"/>
    <w:rsid w:val="630A00B2"/>
    <w:rsid w:val="630C5677"/>
    <w:rsid w:val="633D44AA"/>
    <w:rsid w:val="636F243F"/>
    <w:rsid w:val="638130A6"/>
    <w:rsid w:val="638F1AF4"/>
    <w:rsid w:val="63AA5BC2"/>
    <w:rsid w:val="63CF48F8"/>
    <w:rsid w:val="63F840D4"/>
    <w:rsid w:val="642719FF"/>
    <w:rsid w:val="644B3147"/>
    <w:rsid w:val="646C3009"/>
    <w:rsid w:val="64735320"/>
    <w:rsid w:val="64B30238"/>
    <w:rsid w:val="64D01B87"/>
    <w:rsid w:val="64D77A7E"/>
    <w:rsid w:val="64E73DF1"/>
    <w:rsid w:val="64FF1C3C"/>
    <w:rsid w:val="65012D42"/>
    <w:rsid w:val="652A63DB"/>
    <w:rsid w:val="652F58D3"/>
    <w:rsid w:val="656575F4"/>
    <w:rsid w:val="656738B8"/>
    <w:rsid w:val="657021F5"/>
    <w:rsid w:val="65722B1B"/>
    <w:rsid w:val="658759A6"/>
    <w:rsid w:val="65B826BD"/>
    <w:rsid w:val="65C26555"/>
    <w:rsid w:val="65F362B8"/>
    <w:rsid w:val="661029C7"/>
    <w:rsid w:val="6613537E"/>
    <w:rsid w:val="66300342"/>
    <w:rsid w:val="66334C1F"/>
    <w:rsid w:val="663A3856"/>
    <w:rsid w:val="663B51C1"/>
    <w:rsid w:val="66560ADE"/>
    <w:rsid w:val="666329BA"/>
    <w:rsid w:val="66680388"/>
    <w:rsid w:val="667416AB"/>
    <w:rsid w:val="66A546B3"/>
    <w:rsid w:val="66AB6843"/>
    <w:rsid w:val="66B42F90"/>
    <w:rsid w:val="66FC14FC"/>
    <w:rsid w:val="66FC5136"/>
    <w:rsid w:val="66FD4E0B"/>
    <w:rsid w:val="670901AC"/>
    <w:rsid w:val="672A302E"/>
    <w:rsid w:val="675121D1"/>
    <w:rsid w:val="676F41FA"/>
    <w:rsid w:val="67841E7B"/>
    <w:rsid w:val="67945E5C"/>
    <w:rsid w:val="67C63136"/>
    <w:rsid w:val="67D172DA"/>
    <w:rsid w:val="67ED7463"/>
    <w:rsid w:val="67F24D27"/>
    <w:rsid w:val="68636054"/>
    <w:rsid w:val="6889707C"/>
    <w:rsid w:val="68914153"/>
    <w:rsid w:val="68920C43"/>
    <w:rsid w:val="68A0408F"/>
    <w:rsid w:val="68AB04A4"/>
    <w:rsid w:val="68BC6927"/>
    <w:rsid w:val="68DE70E4"/>
    <w:rsid w:val="68E1674A"/>
    <w:rsid w:val="68EF2603"/>
    <w:rsid w:val="69025AEA"/>
    <w:rsid w:val="69072D46"/>
    <w:rsid w:val="692D5F29"/>
    <w:rsid w:val="695D40C5"/>
    <w:rsid w:val="69731484"/>
    <w:rsid w:val="69757FA5"/>
    <w:rsid w:val="69835459"/>
    <w:rsid w:val="699B55F7"/>
    <w:rsid w:val="69BD67C6"/>
    <w:rsid w:val="69CA04A8"/>
    <w:rsid w:val="69D9013F"/>
    <w:rsid w:val="69F741A2"/>
    <w:rsid w:val="6A185E40"/>
    <w:rsid w:val="6A1D5127"/>
    <w:rsid w:val="6A3949FB"/>
    <w:rsid w:val="6A457C16"/>
    <w:rsid w:val="6A550048"/>
    <w:rsid w:val="6A6B5D71"/>
    <w:rsid w:val="6A8E0CFE"/>
    <w:rsid w:val="6AA81A91"/>
    <w:rsid w:val="6AAB59D5"/>
    <w:rsid w:val="6AC41808"/>
    <w:rsid w:val="6AC42820"/>
    <w:rsid w:val="6AE0238F"/>
    <w:rsid w:val="6AEA5855"/>
    <w:rsid w:val="6AF41DEA"/>
    <w:rsid w:val="6AFA51C9"/>
    <w:rsid w:val="6B854DB8"/>
    <w:rsid w:val="6BA05817"/>
    <w:rsid w:val="6BC7234E"/>
    <w:rsid w:val="6BCF0769"/>
    <w:rsid w:val="6BEE1234"/>
    <w:rsid w:val="6C0C10C6"/>
    <w:rsid w:val="6C1F4FB5"/>
    <w:rsid w:val="6C385E5A"/>
    <w:rsid w:val="6C5C7602"/>
    <w:rsid w:val="6C695C11"/>
    <w:rsid w:val="6C867BD8"/>
    <w:rsid w:val="6C897CC8"/>
    <w:rsid w:val="6C9879C6"/>
    <w:rsid w:val="6CA32D3B"/>
    <w:rsid w:val="6CB055BD"/>
    <w:rsid w:val="6CC50150"/>
    <w:rsid w:val="6CCF41D4"/>
    <w:rsid w:val="6CF6797F"/>
    <w:rsid w:val="6D113871"/>
    <w:rsid w:val="6D2546CA"/>
    <w:rsid w:val="6D262AD0"/>
    <w:rsid w:val="6D2C4E96"/>
    <w:rsid w:val="6D2F429A"/>
    <w:rsid w:val="6D445346"/>
    <w:rsid w:val="6D4C40EA"/>
    <w:rsid w:val="6D535020"/>
    <w:rsid w:val="6D6479C3"/>
    <w:rsid w:val="6D954F12"/>
    <w:rsid w:val="6DAC0736"/>
    <w:rsid w:val="6DB93DFC"/>
    <w:rsid w:val="6DCD71EF"/>
    <w:rsid w:val="6DD742F7"/>
    <w:rsid w:val="6DEE5D60"/>
    <w:rsid w:val="6DF712F5"/>
    <w:rsid w:val="6E5378F4"/>
    <w:rsid w:val="6E601F9E"/>
    <w:rsid w:val="6E6925E9"/>
    <w:rsid w:val="6EBD2E31"/>
    <w:rsid w:val="6EC707CC"/>
    <w:rsid w:val="6EE710C0"/>
    <w:rsid w:val="6EED4691"/>
    <w:rsid w:val="6F037511"/>
    <w:rsid w:val="6F087CC4"/>
    <w:rsid w:val="6F1268A1"/>
    <w:rsid w:val="6F151728"/>
    <w:rsid w:val="6F3D79B6"/>
    <w:rsid w:val="6F6E474D"/>
    <w:rsid w:val="6F6F3E14"/>
    <w:rsid w:val="6F830F20"/>
    <w:rsid w:val="6F99134C"/>
    <w:rsid w:val="6FC337BC"/>
    <w:rsid w:val="6FC47F24"/>
    <w:rsid w:val="6FD04AE8"/>
    <w:rsid w:val="6FDC44E0"/>
    <w:rsid w:val="6FEF43F3"/>
    <w:rsid w:val="70017A54"/>
    <w:rsid w:val="703A3AFA"/>
    <w:rsid w:val="703A4681"/>
    <w:rsid w:val="704519B6"/>
    <w:rsid w:val="70457B12"/>
    <w:rsid w:val="704A0D8C"/>
    <w:rsid w:val="70557E98"/>
    <w:rsid w:val="707E05D0"/>
    <w:rsid w:val="70811B26"/>
    <w:rsid w:val="709B2C8B"/>
    <w:rsid w:val="70BE59BC"/>
    <w:rsid w:val="70C7327A"/>
    <w:rsid w:val="70DD3E23"/>
    <w:rsid w:val="70F34FCA"/>
    <w:rsid w:val="70F5772C"/>
    <w:rsid w:val="710B4AA8"/>
    <w:rsid w:val="71243530"/>
    <w:rsid w:val="71362CEA"/>
    <w:rsid w:val="713A2991"/>
    <w:rsid w:val="714609F9"/>
    <w:rsid w:val="7181116E"/>
    <w:rsid w:val="71A06F30"/>
    <w:rsid w:val="71B9474F"/>
    <w:rsid w:val="71C85D97"/>
    <w:rsid w:val="72190478"/>
    <w:rsid w:val="721D327C"/>
    <w:rsid w:val="722C7603"/>
    <w:rsid w:val="72352E2A"/>
    <w:rsid w:val="726308E2"/>
    <w:rsid w:val="726E6079"/>
    <w:rsid w:val="72744F0E"/>
    <w:rsid w:val="72785D98"/>
    <w:rsid w:val="729B5B36"/>
    <w:rsid w:val="72B12003"/>
    <w:rsid w:val="72E57670"/>
    <w:rsid w:val="72E849C4"/>
    <w:rsid w:val="73455C2A"/>
    <w:rsid w:val="73470B82"/>
    <w:rsid w:val="73556C95"/>
    <w:rsid w:val="736C5E03"/>
    <w:rsid w:val="73A6170B"/>
    <w:rsid w:val="73AA26AC"/>
    <w:rsid w:val="73D42779"/>
    <w:rsid w:val="73E5115F"/>
    <w:rsid w:val="73F05C68"/>
    <w:rsid w:val="7410293E"/>
    <w:rsid w:val="742817A0"/>
    <w:rsid w:val="74355268"/>
    <w:rsid w:val="744F6464"/>
    <w:rsid w:val="747B608F"/>
    <w:rsid w:val="74B62BF8"/>
    <w:rsid w:val="74BA0549"/>
    <w:rsid w:val="74C33E4E"/>
    <w:rsid w:val="74C45CA6"/>
    <w:rsid w:val="74F75D5F"/>
    <w:rsid w:val="75316872"/>
    <w:rsid w:val="756056DD"/>
    <w:rsid w:val="75844AE0"/>
    <w:rsid w:val="758516A6"/>
    <w:rsid w:val="7598328E"/>
    <w:rsid w:val="75A97067"/>
    <w:rsid w:val="75AE319A"/>
    <w:rsid w:val="75B11ED2"/>
    <w:rsid w:val="75BF1E0A"/>
    <w:rsid w:val="75CC0C58"/>
    <w:rsid w:val="75D93D84"/>
    <w:rsid w:val="75DF7A1C"/>
    <w:rsid w:val="762A110B"/>
    <w:rsid w:val="76355800"/>
    <w:rsid w:val="763F7CD2"/>
    <w:rsid w:val="7646502B"/>
    <w:rsid w:val="76520811"/>
    <w:rsid w:val="7653028C"/>
    <w:rsid w:val="76634834"/>
    <w:rsid w:val="766742B8"/>
    <w:rsid w:val="76802AA6"/>
    <w:rsid w:val="7698687A"/>
    <w:rsid w:val="76AC0DE3"/>
    <w:rsid w:val="76AC2FAB"/>
    <w:rsid w:val="76DF4394"/>
    <w:rsid w:val="77115B9B"/>
    <w:rsid w:val="7721368A"/>
    <w:rsid w:val="773027D1"/>
    <w:rsid w:val="77401D44"/>
    <w:rsid w:val="775E6259"/>
    <w:rsid w:val="7784439D"/>
    <w:rsid w:val="778C15BE"/>
    <w:rsid w:val="7790268A"/>
    <w:rsid w:val="7796561D"/>
    <w:rsid w:val="77BF11BB"/>
    <w:rsid w:val="77C807D0"/>
    <w:rsid w:val="77D558C7"/>
    <w:rsid w:val="77D914A6"/>
    <w:rsid w:val="77F33EA5"/>
    <w:rsid w:val="77F57B49"/>
    <w:rsid w:val="77FC726A"/>
    <w:rsid w:val="78092026"/>
    <w:rsid w:val="782906B1"/>
    <w:rsid w:val="78337982"/>
    <w:rsid w:val="785B5E7F"/>
    <w:rsid w:val="786F030A"/>
    <w:rsid w:val="78974E9C"/>
    <w:rsid w:val="78996FA0"/>
    <w:rsid w:val="78C2184C"/>
    <w:rsid w:val="78D81144"/>
    <w:rsid w:val="79070BEF"/>
    <w:rsid w:val="7907600B"/>
    <w:rsid w:val="790C6BE5"/>
    <w:rsid w:val="79230F1F"/>
    <w:rsid w:val="79304A13"/>
    <w:rsid w:val="79487249"/>
    <w:rsid w:val="7950630C"/>
    <w:rsid w:val="795466FB"/>
    <w:rsid w:val="797C46A7"/>
    <w:rsid w:val="79983DBB"/>
    <w:rsid w:val="799E3886"/>
    <w:rsid w:val="79AC51A9"/>
    <w:rsid w:val="79AC5821"/>
    <w:rsid w:val="79B4774B"/>
    <w:rsid w:val="79D66388"/>
    <w:rsid w:val="79ED09E8"/>
    <w:rsid w:val="79FA3CE1"/>
    <w:rsid w:val="7A200DCD"/>
    <w:rsid w:val="7A2A3475"/>
    <w:rsid w:val="7A51609D"/>
    <w:rsid w:val="7A7A449B"/>
    <w:rsid w:val="7A8B522A"/>
    <w:rsid w:val="7AA049F7"/>
    <w:rsid w:val="7AAB1305"/>
    <w:rsid w:val="7AB33BBE"/>
    <w:rsid w:val="7AC3678D"/>
    <w:rsid w:val="7AC5733B"/>
    <w:rsid w:val="7ACD5297"/>
    <w:rsid w:val="7AD73021"/>
    <w:rsid w:val="7AF028DE"/>
    <w:rsid w:val="7B330527"/>
    <w:rsid w:val="7B681689"/>
    <w:rsid w:val="7B6C0B8B"/>
    <w:rsid w:val="7B76061B"/>
    <w:rsid w:val="7B9A1258"/>
    <w:rsid w:val="7BAB0619"/>
    <w:rsid w:val="7BAD023F"/>
    <w:rsid w:val="7BB65DD0"/>
    <w:rsid w:val="7BD346B4"/>
    <w:rsid w:val="7BDB07B3"/>
    <w:rsid w:val="7C0844BB"/>
    <w:rsid w:val="7C3519A7"/>
    <w:rsid w:val="7C504E5F"/>
    <w:rsid w:val="7C636D7B"/>
    <w:rsid w:val="7C66727A"/>
    <w:rsid w:val="7C6D6003"/>
    <w:rsid w:val="7C87012C"/>
    <w:rsid w:val="7CB62A82"/>
    <w:rsid w:val="7CC959C7"/>
    <w:rsid w:val="7CD366A1"/>
    <w:rsid w:val="7CE5674A"/>
    <w:rsid w:val="7CEF347D"/>
    <w:rsid w:val="7CF6186E"/>
    <w:rsid w:val="7D047736"/>
    <w:rsid w:val="7D0A382D"/>
    <w:rsid w:val="7D11179C"/>
    <w:rsid w:val="7D2F4329"/>
    <w:rsid w:val="7D414A16"/>
    <w:rsid w:val="7D4E5163"/>
    <w:rsid w:val="7D512740"/>
    <w:rsid w:val="7D7E6ECE"/>
    <w:rsid w:val="7D9C4976"/>
    <w:rsid w:val="7D9F2B56"/>
    <w:rsid w:val="7DC7520F"/>
    <w:rsid w:val="7DDC0808"/>
    <w:rsid w:val="7DE13763"/>
    <w:rsid w:val="7DEC7CA4"/>
    <w:rsid w:val="7DF56D2F"/>
    <w:rsid w:val="7E0B2A9C"/>
    <w:rsid w:val="7E1C414C"/>
    <w:rsid w:val="7E5704FB"/>
    <w:rsid w:val="7E5C3572"/>
    <w:rsid w:val="7E5E3D70"/>
    <w:rsid w:val="7E830CAF"/>
    <w:rsid w:val="7E85057F"/>
    <w:rsid w:val="7E8B0B81"/>
    <w:rsid w:val="7EDC1B88"/>
    <w:rsid w:val="7EE1772D"/>
    <w:rsid w:val="7EEF2121"/>
    <w:rsid w:val="7EF00ED3"/>
    <w:rsid w:val="7EF805C1"/>
    <w:rsid w:val="7F162CCF"/>
    <w:rsid w:val="7F3535AD"/>
    <w:rsid w:val="7F361298"/>
    <w:rsid w:val="7F51576B"/>
    <w:rsid w:val="7F676991"/>
    <w:rsid w:val="7F6A322B"/>
    <w:rsid w:val="7F8F2E0F"/>
    <w:rsid w:val="7F9978A1"/>
    <w:rsid w:val="7FA42917"/>
    <w:rsid w:val="7FB61109"/>
    <w:rsid w:val="7FC133F2"/>
    <w:rsid w:val="7FF76391"/>
    <w:rsid w:val="7FF814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4"/>
      <w:szCs w:val="22"/>
      <w:lang w:val="en-US" w:eastAsia="zh-CN" w:bidi="ar-SA"/>
    </w:rPr>
  </w:style>
  <w:style w:type="paragraph" w:styleId="3">
    <w:name w:val="heading 1"/>
    <w:basedOn w:val="1"/>
    <w:next w:val="1"/>
    <w:qFormat/>
    <w:uiPriority w:val="0"/>
    <w:pPr>
      <w:keepNext/>
      <w:keepLines/>
      <w:spacing w:line="576" w:lineRule="auto"/>
      <w:outlineLvl w:val="0"/>
    </w:pPr>
    <w:rPr>
      <w:rFonts w:eastAsia="宋体"/>
      <w:b/>
      <w:bCs/>
      <w:kern w:val="44"/>
      <w:sz w:val="44"/>
      <w:szCs w:val="44"/>
    </w:rPr>
  </w:style>
  <w:style w:type="paragraph" w:styleId="4">
    <w:name w:val="heading 2"/>
    <w:basedOn w:val="1"/>
    <w:next w:val="1"/>
    <w:unhideWhenUsed/>
    <w:qFormat/>
    <w:uiPriority w:val="0"/>
    <w:pPr>
      <w:keepNext/>
      <w:keepLines/>
      <w:spacing w:line="413" w:lineRule="auto"/>
      <w:outlineLvl w:val="1"/>
    </w:pPr>
    <w:rPr>
      <w:rFonts w:ascii="Arial" w:hAnsi="Arial" w:eastAsia="黑体"/>
      <w:b/>
      <w:bCs/>
      <w:sz w:val="32"/>
      <w:szCs w:val="32"/>
    </w:rPr>
  </w:style>
  <w:style w:type="paragraph" w:styleId="5">
    <w:name w:val="heading 3"/>
    <w:basedOn w:val="1"/>
    <w:next w:val="1"/>
    <w:qFormat/>
    <w:uiPriority w:val="0"/>
    <w:pPr>
      <w:keepNext/>
      <w:keepLines/>
      <w:spacing w:line="413" w:lineRule="auto"/>
      <w:outlineLvl w:val="2"/>
    </w:pPr>
    <w:rPr>
      <w:b/>
      <w:sz w:val="28"/>
    </w:rPr>
  </w:style>
  <w:style w:type="paragraph" w:styleId="6">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rPr>
      <w:rFonts w:hAnsi="Times New Roman"/>
    </w:rPr>
  </w:style>
  <w:style w:type="paragraph" w:styleId="7">
    <w:name w:val="Normal Indent"/>
    <w:basedOn w:val="1"/>
    <w:next w:val="1"/>
    <w:qFormat/>
    <w:uiPriority w:val="0"/>
    <w:pPr>
      <w:ind w:firstLine="420"/>
    </w:pPr>
    <w:rPr>
      <w:rFonts w:ascii="Times New Roman" w:hAnsi="Times New Roman"/>
      <w:sz w:val="21"/>
    </w:rPr>
  </w:style>
  <w:style w:type="paragraph" w:styleId="8">
    <w:name w:val="annotation text"/>
    <w:basedOn w:val="1"/>
    <w:qFormat/>
    <w:uiPriority w:val="0"/>
    <w:pPr>
      <w:jc w:val="left"/>
    </w:pPr>
  </w:style>
  <w:style w:type="paragraph" w:styleId="9">
    <w:name w:val="Body Text Indent"/>
    <w:basedOn w:val="1"/>
    <w:qFormat/>
    <w:uiPriority w:val="0"/>
    <w:pPr>
      <w:spacing w:after="120" w:afterLines="0"/>
      <w:ind w:left="420" w:leftChars="200"/>
    </w:pPr>
  </w:style>
  <w:style w:type="paragraph" w:styleId="10">
    <w:name w:val="Plain Text"/>
    <w:basedOn w:val="1"/>
    <w:qFormat/>
    <w:uiPriority w:val="0"/>
    <w:rPr>
      <w:rFonts w:ascii="宋体" w:hAnsi="Courier New" w:eastAsia="宋体"/>
      <w:sz w:val="21"/>
    </w:rPr>
  </w:style>
  <w:style w:type="paragraph" w:styleId="11">
    <w:name w:val="Date"/>
    <w:basedOn w:val="1"/>
    <w:next w:val="1"/>
    <w:qFormat/>
    <w:uiPriority w:val="0"/>
    <w:rPr>
      <w:szCs w:val="20"/>
    </w:rPr>
  </w:style>
  <w:style w:type="paragraph" w:styleId="12">
    <w:name w:val="footer"/>
    <w:basedOn w:val="1"/>
    <w:qFormat/>
    <w:uiPriority w:val="0"/>
    <w:pPr>
      <w:tabs>
        <w:tab w:val="center" w:pos="4153"/>
        <w:tab w:val="right" w:pos="8306"/>
      </w:tabs>
      <w:snapToGrid w:val="0"/>
      <w:jc w:val="left"/>
    </w:pPr>
    <w:rPr>
      <w:rFonts w:eastAsia="宋体"/>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0"/>
    <w:rPr>
      <w:sz w:val="21"/>
      <w:szCs w:val="24"/>
    </w:rPr>
  </w:style>
  <w:style w:type="paragraph" w:styleId="15">
    <w:name w:val="Body Text Indent 3"/>
    <w:basedOn w:val="1"/>
    <w:qFormat/>
    <w:uiPriority w:val="0"/>
    <w:pPr>
      <w:spacing w:line="440" w:lineRule="exact"/>
      <w:ind w:firstLine="480" w:firstLineChars="200"/>
    </w:pPr>
    <w:rPr>
      <w:rFonts w:ascii="宋体" w:hAnsi="宋体"/>
      <w:color w:val="000000"/>
      <w:szCs w:val="24"/>
    </w:rPr>
  </w:style>
  <w:style w:type="paragraph" w:styleId="16">
    <w:name w:val="toc 2"/>
    <w:basedOn w:val="1"/>
    <w:next w:val="1"/>
    <w:qFormat/>
    <w:uiPriority w:val="0"/>
    <w:pPr>
      <w:ind w:left="420" w:leftChars="200"/>
    </w:pPr>
    <w:rPr>
      <w:sz w:val="21"/>
      <w:szCs w:val="24"/>
    </w:rPr>
  </w:style>
  <w:style w:type="paragraph" w:styleId="17">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Cambria" w:hAnsi="Cambria"/>
    </w:rPr>
  </w:style>
  <w:style w:type="paragraph" w:styleId="18">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19">
    <w:name w:val="Normal (Web)"/>
    <w:basedOn w:val="1"/>
    <w:next w:val="1"/>
    <w:qFormat/>
    <w:uiPriority w:val="0"/>
    <w:pPr>
      <w:jc w:val="left"/>
    </w:pPr>
    <w:rPr>
      <w:rFonts w:cs="Times New Roman"/>
      <w:kern w:val="0"/>
    </w:rPr>
  </w:style>
  <w:style w:type="paragraph" w:styleId="20">
    <w:name w:val="Title"/>
    <w:basedOn w:val="1"/>
    <w:next w:val="1"/>
    <w:qFormat/>
    <w:uiPriority w:val="0"/>
    <w:pPr>
      <w:spacing w:before="240" w:after="60"/>
      <w:jc w:val="center"/>
      <w:outlineLvl w:val="0"/>
    </w:pPr>
    <w:rPr>
      <w:rFonts w:ascii="Cambria" w:hAnsi="Cambria"/>
      <w:b/>
      <w:bCs/>
      <w:sz w:val="32"/>
      <w:szCs w:val="32"/>
    </w:rPr>
  </w:style>
  <w:style w:type="paragraph" w:styleId="21">
    <w:name w:val="Body Text First Indent 2"/>
    <w:basedOn w:val="9"/>
    <w:qFormat/>
    <w:uiPriority w:val="0"/>
    <w:pPr>
      <w:tabs>
        <w:tab w:val="left" w:pos="4900"/>
      </w:tabs>
      <w:ind w:firstLine="420" w:firstLineChars="200"/>
    </w:pPr>
  </w:style>
  <w:style w:type="table" w:styleId="23">
    <w:name w:val="Table Grid"/>
    <w:basedOn w:val="22"/>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styleId="25">
    <w:name w:val="Strong"/>
    <w:basedOn w:val="24"/>
    <w:qFormat/>
    <w:uiPriority w:val="0"/>
    <w:rPr>
      <w:b/>
    </w:rPr>
  </w:style>
  <w:style w:type="character" w:styleId="26">
    <w:name w:val="page number"/>
    <w:basedOn w:val="24"/>
    <w:qFormat/>
    <w:uiPriority w:val="0"/>
  </w:style>
  <w:style w:type="character" w:styleId="27">
    <w:name w:val="FollowedHyperlink"/>
    <w:basedOn w:val="24"/>
    <w:qFormat/>
    <w:uiPriority w:val="0"/>
    <w:rPr>
      <w:color w:val="333333"/>
      <w:u w:val="none"/>
    </w:rPr>
  </w:style>
  <w:style w:type="character" w:styleId="28">
    <w:name w:val="Emphasis"/>
    <w:basedOn w:val="24"/>
    <w:qFormat/>
    <w:uiPriority w:val="0"/>
  </w:style>
  <w:style w:type="character" w:styleId="29">
    <w:name w:val="HTML Definition"/>
    <w:basedOn w:val="24"/>
    <w:qFormat/>
    <w:uiPriority w:val="0"/>
    <w:rPr>
      <w:i/>
    </w:rPr>
  </w:style>
  <w:style w:type="character" w:styleId="30">
    <w:name w:val="Hyperlink"/>
    <w:basedOn w:val="24"/>
    <w:qFormat/>
    <w:uiPriority w:val="0"/>
    <w:rPr>
      <w:rFonts w:ascii="宋体" w:hAnsi="宋体" w:eastAsia="宋体"/>
      <w:b/>
      <w:color w:val="0000FF"/>
      <w:kern w:val="2"/>
      <w:sz w:val="24"/>
      <w:szCs w:val="24"/>
      <w:u w:val="single"/>
      <w:lang w:val="en-US" w:eastAsia="zh-CN" w:bidi="ar-SA"/>
    </w:rPr>
  </w:style>
  <w:style w:type="character" w:styleId="31">
    <w:name w:val="HTML Code"/>
    <w:basedOn w:val="24"/>
    <w:qFormat/>
    <w:uiPriority w:val="0"/>
    <w:rPr>
      <w:rFonts w:hint="default" w:ascii="Menlo" w:hAnsi="Menlo" w:eastAsia="Menlo" w:cs="Menlo"/>
      <w:color w:val="C7254E"/>
      <w:sz w:val="21"/>
      <w:szCs w:val="21"/>
      <w:shd w:val="clear" w:color="auto" w:fill="F9F2F4"/>
    </w:rPr>
  </w:style>
  <w:style w:type="character" w:styleId="32">
    <w:name w:val="HTML Keyboard"/>
    <w:basedOn w:val="24"/>
    <w:qFormat/>
    <w:uiPriority w:val="0"/>
    <w:rPr>
      <w:rFonts w:ascii="Menlo" w:hAnsi="Menlo" w:eastAsia="Menlo" w:cs="Menlo"/>
      <w:color w:val="FFFFFF"/>
      <w:sz w:val="21"/>
      <w:szCs w:val="21"/>
      <w:shd w:val="clear" w:color="auto" w:fill="333333"/>
    </w:rPr>
  </w:style>
  <w:style w:type="character" w:styleId="33">
    <w:name w:val="HTML Sample"/>
    <w:basedOn w:val="24"/>
    <w:qFormat/>
    <w:uiPriority w:val="0"/>
    <w:rPr>
      <w:rFonts w:hint="default" w:ascii="Menlo" w:hAnsi="Menlo" w:eastAsia="Menlo" w:cs="Menlo"/>
      <w:sz w:val="21"/>
      <w:szCs w:val="21"/>
    </w:rPr>
  </w:style>
  <w:style w:type="paragraph" w:customStyle="1" w:styleId="34">
    <w:name w:val="正文缩进1"/>
    <w:basedOn w:val="1"/>
    <w:qFormat/>
    <w:uiPriority w:val="0"/>
    <w:pPr>
      <w:ind w:firstLine="420" w:firstLineChars="200"/>
    </w:pPr>
  </w:style>
  <w:style w:type="paragraph" w:customStyle="1" w:styleId="35">
    <w:name w:val="_Style 5"/>
    <w:basedOn w:val="3"/>
    <w:next w:val="1"/>
    <w:qFormat/>
    <w:uiPriority w:val="39"/>
    <w:pPr>
      <w:widowControl/>
      <w:spacing w:before="480" w:line="276" w:lineRule="auto"/>
      <w:jc w:val="left"/>
      <w:outlineLvl w:val="9"/>
    </w:pPr>
    <w:rPr>
      <w:rFonts w:ascii="Cambria" w:hAnsi="Cambria" w:cs="Times New Roman"/>
      <w:color w:val="365F91"/>
      <w:kern w:val="0"/>
      <w:sz w:val="28"/>
      <w:szCs w:val="28"/>
    </w:rPr>
  </w:style>
  <w:style w:type="paragraph" w:customStyle="1" w:styleId="36">
    <w:name w:val="09正文_wh"/>
    <w:qFormat/>
    <w:uiPriority w:val="0"/>
    <w:pPr>
      <w:spacing w:line="300" w:lineRule="auto"/>
      <w:ind w:firstLine="200" w:firstLineChars="200"/>
      <w:jc w:val="both"/>
    </w:pPr>
    <w:rPr>
      <w:rFonts w:asciiTheme="minorHAnsi" w:hAnsiTheme="minorHAnsi" w:eastAsiaTheme="minorEastAsia" w:cstheme="minorBidi"/>
      <w:sz w:val="28"/>
      <w:szCs w:val="22"/>
      <w:lang w:val="en-US" w:eastAsia="zh-CN" w:bidi="ar-SA"/>
    </w:rPr>
  </w:style>
  <w:style w:type="paragraph" w:customStyle="1" w:styleId="37">
    <w:name w:val="p15"/>
    <w:basedOn w:val="1"/>
    <w:qFormat/>
    <w:uiPriority w:val="99"/>
    <w:pPr>
      <w:widowControl/>
    </w:pPr>
    <w:rPr>
      <w:kern w:val="0"/>
      <w:sz w:val="21"/>
      <w:szCs w:val="21"/>
    </w:rPr>
  </w:style>
  <w:style w:type="paragraph" w:customStyle="1" w:styleId="38">
    <w:name w:val="正文 New"/>
    <w:qFormat/>
    <w:uiPriority w:val="99"/>
    <w:pPr>
      <w:widowControl w:val="0"/>
      <w:jc w:val="both"/>
    </w:pPr>
    <w:rPr>
      <w:rFonts w:ascii="Calibri" w:hAnsi="Calibri" w:eastAsiaTheme="minorEastAsia" w:cstheme="minorBidi"/>
      <w:sz w:val="21"/>
      <w:szCs w:val="22"/>
      <w:lang w:val="en-US" w:eastAsia="zh-CN" w:bidi="ar-SA"/>
    </w:rPr>
  </w:style>
  <w:style w:type="character" w:customStyle="1" w:styleId="39">
    <w:name w:val="old"/>
    <w:basedOn w:val="24"/>
    <w:qFormat/>
    <w:uiPriority w:val="0"/>
    <w:rPr>
      <w:color w:val="999999"/>
    </w:rPr>
  </w:style>
  <w:style w:type="character" w:customStyle="1" w:styleId="40">
    <w:name w:val="hover3"/>
    <w:basedOn w:val="24"/>
    <w:qFormat/>
    <w:uiPriority w:val="0"/>
    <w:rPr>
      <w:shd w:val="clear" w:color="auto" w:fill="EEEEEE"/>
    </w:rPr>
  </w:style>
  <w:style w:type="character" w:customStyle="1" w:styleId="41">
    <w:name w:val="glyphicon4"/>
    <w:basedOn w:val="24"/>
    <w:qFormat/>
    <w:uiPriority w:val="0"/>
  </w:style>
  <w:style w:type="character" w:customStyle="1" w:styleId="42">
    <w:name w:val="hour_am"/>
    <w:basedOn w:val="24"/>
    <w:qFormat/>
    <w:uiPriority w:val="0"/>
  </w:style>
  <w:style w:type="character" w:customStyle="1" w:styleId="43">
    <w:name w:val="hour_pm"/>
    <w:basedOn w:val="24"/>
    <w:qFormat/>
    <w:uiPriority w:val="0"/>
  </w:style>
  <w:style w:type="character" w:customStyle="1" w:styleId="44">
    <w:name w:val="button"/>
    <w:basedOn w:val="24"/>
    <w:qFormat/>
    <w:uiPriority w:val="0"/>
  </w:style>
  <w:style w:type="character" w:customStyle="1" w:styleId="45">
    <w:name w:val="tmpztreemove_arrow"/>
    <w:basedOn w:val="24"/>
    <w:qFormat/>
    <w:uiPriority w:val="0"/>
    <w:rPr>
      <w:shd w:val="clear" w:color="auto" w:fill="FFFFFF"/>
    </w:rPr>
  </w:style>
  <w:style w:type="character" w:customStyle="1" w:styleId="46">
    <w:name w:val="indent"/>
    <w:basedOn w:val="24"/>
    <w:qFormat/>
    <w:uiPriority w:val="0"/>
  </w:style>
  <w:style w:type="paragraph" w:customStyle="1" w:styleId="47">
    <w:name w:val="title1"/>
    <w:basedOn w:val="1"/>
    <w:qFormat/>
    <w:uiPriority w:val="0"/>
    <w:pPr>
      <w:spacing w:before="150" w:line="450" w:lineRule="atLeast"/>
      <w:jc w:val="left"/>
    </w:pPr>
    <w:rPr>
      <w:rFonts w:cs="Times New Roman"/>
      <w:b/>
      <w:kern w:val="0"/>
      <w:szCs w:val="24"/>
    </w:rPr>
  </w:style>
  <w:style w:type="paragraph" w:customStyle="1" w:styleId="48">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49">
    <w:name w:val="List Paragraph"/>
    <w:basedOn w:val="1"/>
    <w:qFormat/>
    <w:uiPriority w:val="34"/>
    <w:pPr>
      <w:ind w:firstLine="420" w:firstLineChars="200"/>
    </w:pPr>
  </w:style>
  <w:style w:type="paragraph" w:customStyle="1" w:styleId="50">
    <w:name w:val="List Paragraph_0ebf999d-180a-4a52-88b1-358b0e0eb422"/>
    <w:basedOn w:val="1"/>
    <w:qFormat/>
    <w:uiPriority w:val="0"/>
    <w:pPr>
      <w:ind w:firstLine="420" w:firstLineChars="200"/>
    </w:pPr>
    <w:rPr>
      <w:rFonts w:ascii="Calibri" w:hAnsi="Calibri" w:eastAsia="宋体" w:cs="Times New Roman"/>
      <w:sz w:val="21"/>
      <w:szCs w:val="21"/>
    </w:rPr>
  </w:style>
  <w:style w:type="paragraph" w:customStyle="1" w:styleId="51">
    <w:name w:val="正文 A"/>
    <w:qFormat/>
    <w:uiPriority w:val="0"/>
    <w:pPr>
      <w:framePr w:wrap="around" w:vAnchor="margin" w:hAnchor="text" w:yAlign="top"/>
      <w:widowControl w:val="0"/>
      <w:jc w:val="both"/>
    </w:pPr>
    <w:rPr>
      <w:rFonts w:ascii="Times New Roman" w:hAnsi="Times New Roman" w:eastAsia="Times New Roman" w:cs="Arial Unicode MS"/>
      <w:color w:val="000000"/>
      <w:kern w:val="2"/>
      <w:sz w:val="21"/>
      <w:szCs w:val="21"/>
      <w:u w:val="none" w:color="000000"/>
      <w:lang w:val="en-US" w:eastAsia="zh-CN" w:bidi="ar-SA"/>
    </w:rPr>
  </w:style>
  <w:style w:type="character" w:customStyle="1" w:styleId="52">
    <w:name w:val="NormalCharacter"/>
    <w:qFormat/>
    <w:uiPriority w:val="0"/>
  </w:style>
  <w:style w:type="paragraph" w:customStyle="1" w:styleId="53">
    <w:name w:val="列出段落1"/>
    <w:basedOn w:val="1"/>
    <w:qFormat/>
    <w:uiPriority w:val="0"/>
    <w:pPr>
      <w:ind w:firstLine="420" w:firstLineChars="200"/>
    </w:pPr>
    <w:rPr>
      <w:rFonts w:ascii="Calibri" w:hAnsi="Calibri" w:cs="黑体"/>
      <w:szCs w:val="22"/>
    </w:rPr>
  </w:style>
  <w:style w:type="paragraph" w:customStyle="1" w:styleId="54">
    <w:name w:val="Table Paragraph"/>
    <w:basedOn w:val="1"/>
    <w:qFormat/>
    <w:uiPriority w:val="1"/>
    <w:pPr>
      <w:autoSpaceDE w:val="0"/>
      <w:autoSpaceDN w:val="0"/>
      <w:spacing w:before="137"/>
      <w:ind w:left="108"/>
      <w:jc w:val="center"/>
    </w:pPr>
    <w:rPr>
      <w:rFonts w:ascii="宋体" w:hAnsi="宋体" w:cs="宋体"/>
      <w:kern w:val="0"/>
      <w:sz w:val="22"/>
      <w:szCs w:val="22"/>
      <w:lang w:val="zh-CN" w:bidi="zh-CN"/>
    </w:rPr>
  </w:style>
  <w:style w:type="paragraph" w:customStyle="1" w:styleId="55">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6">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57">
    <w:name w:val="_Style 3"/>
    <w:basedOn w:val="3"/>
    <w:next w:val="1"/>
    <w:qFormat/>
    <w:uiPriority w:val="99"/>
    <w:pPr>
      <w:spacing w:before="480" w:after="0" w:line="276" w:lineRule="auto"/>
      <w:outlineLvl w:val="9"/>
    </w:pPr>
    <w:rPr>
      <w:rFonts w:ascii="仿宋" w:hAnsi="仿宋" w:eastAsia="仿宋"/>
      <w:color w:val="000000"/>
      <w:kern w:val="0"/>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0" Type="http://schemas.openxmlformats.org/officeDocument/2006/relationships/fontTable" Target="fontTable.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4.xml"/><Relationship Id="rId24" Type="http://schemas.openxmlformats.org/officeDocument/2006/relationships/footer" Target="footer13.xml"/><Relationship Id="rId23" Type="http://schemas.openxmlformats.org/officeDocument/2006/relationships/header" Target="header9.xml"/><Relationship Id="rId22" Type="http://schemas.openxmlformats.org/officeDocument/2006/relationships/footer" Target="footer12.xml"/><Relationship Id="rId21" Type="http://schemas.openxmlformats.org/officeDocument/2006/relationships/footer" Target="footer11.xml"/><Relationship Id="rId20" Type="http://schemas.openxmlformats.org/officeDocument/2006/relationships/footer" Target="footer10.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header" Target="header7.xml"/><Relationship Id="rId17" Type="http://schemas.openxmlformats.org/officeDocument/2006/relationships/footer" Target="footer9.xml"/><Relationship Id="rId16" Type="http://schemas.openxmlformats.org/officeDocument/2006/relationships/footer" Target="footer8.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footer" Target="footer7.xml"/><Relationship Id="rId12" Type="http://schemas.openxmlformats.org/officeDocument/2006/relationships/footer" Target="footer6.xml"/><Relationship Id="rId11" Type="http://schemas.openxmlformats.org/officeDocument/2006/relationships/header" Target="header4.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2050"/>
    <customShpInfo spid="_x0000_s2049"/>
    <customShpInfo spid="_x0000_s2054"/>
    <customShpInfo spid="_x0000_s2053"/>
    <customShpInfo spid="_x0000_s2055"/>
    <customShpInfo spid="_x0000_s2057"/>
    <customShpInfo spid="_x0000_s2056"/>
    <customShpInfo spid="_x0000_s1041"/>
    <customShpInfo spid="_x0000_s1026"/>
    <customShpInfo spid="_x0000_s1027"/>
    <customShpInfo spid="_x0000_s1042"/>
    <customShpInfo spid="_x0000_s103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Micorosoft</Company>
  <Pages>98</Pages>
  <Words>44575</Words>
  <Characters>47284</Characters>
  <Lines>1</Lines>
  <Paragraphs>1</Paragraphs>
  <TotalTime>140</TotalTime>
  <ScaleCrop>false</ScaleCrop>
  <LinksUpToDate>false</LinksUpToDate>
  <CharactersWithSpaces>50145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2018-04-20T03:47:00Z</dcterms:created>
  <dc:creator>Administrator</dc:creator>
  <cp:lastModifiedBy>QinL109</cp:lastModifiedBy>
  <cp:lastPrinted>2020-04-26T03:00:00Z</cp:lastPrinted>
  <dcterms:modified xsi:type="dcterms:W3CDTF">2023-03-24T08:28:07Z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853F4E4DB24D49D3954C1C338C0FCE14</vt:lpwstr>
  </property>
</Properties>
</file>